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6B7" w:rsidRPr="006056B7" w:rsidRDefault="006056B7" w:rsidP="006056B7">
      <w:pPr>
        <w:rPr>
          <w:b/>
          <w:sz w:val="24"/>
        </w:rPr>
      </w:pPr>
      <w:r w:rsidRPr="006056B7">
        <w:rPr>
          <w:b/>
          <w:sz w:val="24"/>
        </w:rPr>
        <w:t xml:space="preserve">Here Are </w:t>
      </w:r>
      <w:proofErr w:type="gramStart"/>
      <w:r w:rsidRPr="006056B7">
        <w:rPr>
          <w:b/>
          <w:sz w:val="24"/>
        </w:rPr>
        <w:t>The</w:t>
      </w:r>
      <w:proofErr w:type="gramEnd"/>
      <w:r w:rsidRPr="006056B7">
        <w:rPr>
          <w:b/>
          <w:sz w:val="24"/>
        </w:rPr>
        <w:t xml:space="preserve"> 23 Executive Orders On Gun Safet</w:t>
      </w:r>
      <w:r w:rsidRPr="006056B7">
        <w:rPr>
          <w:b/>
          <w:sz w:val="24"/>
        </w:rPr>
        <w:t>y Signed Today By The President</w:t>
      </w:r>
      <w:r>
        <w:rPr>
          <w:b/>
          <w:sz w:val="24"/>
        </w:rPr>
        <w:t xml:space="preserve"> (2013)</w:t>
      </w:r>
    </w:p>
    <w:p w:rsidR="006056B7" w:rsidRDefault="006056B7" w:rsidP="006056B7">
      <w:r>
        <w:t xml:space="preserve">Rick </w:t>
      </w:r>
      <w:proofErr w:type="spellStart"/>
      <w:r>
        <w:t>Ungar</w:t>
      </w:r>
      <w:proofErr w:type="spellEnd"/>
    </w:p>
    <w:p w:rsidR="006056B7" w:rsidRDefault="006056B7" w:rsidP="006056B7">
      <w:r>
        <w:t>CONTRIBUTOR</w:t>
      </w:r>
    </w:p>
    <w:p w:rsidR="006056B7" w:rsidRDefault="006056B7" w:rsidP="006056B7">
      <w:r>
        <w:t>I write from the left on politics and policy.</w:t>
      </w:r>
    </w:p>
    <w:p w:rsidR="006056B7" w:rsidRDefault="006056B7" w:rsidP="006056B7">
      <w:r>
        <w:t xml:space="preserve">FOLLOW ON FORBES </w:t>
      </w:r>
    </w:p>
    <w:p w:rsidR="006056B7" w:rsidRDefault="006056B7" w:rsidP="006056B7">
      <w:r>
        <w:t>Opinions expressed by Forbes Contributors are their own.</w:t>
      </w:r>
    </w:p>
    <w:p w:rsidR="006056B7" w:rsidRPr="006056B7" w:rsidRDefault="006056B7" w:rsidP="006056B7">
      <w:pPr>
        <w:spacing w:after="0"/>
        <w:rPr>
          <w:rFonts w:ascii="Times New Roman" w:hAnsi="Times New Roman" w:cs="Times New Roman"/>
        </w:rPr>
      </w:pPr>
      <w:r w:rsidRPr="006056B7">
        <w:rPr>
          <w:rFonts w:ascii="Times New Roman" w:hAnsi="Times New Roman" w:cs="Times New Roman"/>
        </w:rPr>
        <w:t xml:space="preserve">President Barack Obama signs a series of executive orders about the administration's new gun law proposals as children who wrote letters to the White House about gun violence, (L-R) </w:t>
      </w:r>
      <w:proofErr w:type="spellStart"/>
      <w:r w:rsidRPr="006056B7">
        <w:rPr>
          <w:rFonts w:ascii="Times New Roman" w:hAnsi="Times New Roman" w:cs="Times New Roman"/>
        </w:rPr>
        <w:t>Hinna</w:t>
      </w:r>
      <w:proofErr w:type="spellEnd"/>
      <w:r w:rsidRPr="006056B7">
        <w:rPr>
          <w:rFonts w:ascii="Times New Roman" w:hAnsi="Times New Roman" w:cs="Times New Roman"/>
        </w:rPr>
        <w:t xml:space="preserve"> </w:t>
      </w:r>
      <w:proofErr w:type="spellStart"/>
      <w:r w:rsidRPr="006056B7">
        <w:rPr>
          <w:rFonts w:ascii="Times New Roman" w:hAnsi="Times New Roman" w:cs="Times New Roman"/>
        </w:rPr>
        <w:t>Zeejah</w:t>
      </w:r>
      <w:proofErr w:type="spellEnd"/>
      <w:r w:rsidRPr="006056B7">
        <w:rPr>
          <w:rFonts w:ascii="Times New Roman" w:hAnsi="Times New Roman" w:cs="Times New Roman"/>
        </w:rPr>
        <w:t xml:space="preserve">, </w:t>
      </w:r>
      <w:proofErr w:type="spellStart"/>
      <w:r w:rsidRPr="006056B7">
        <w:rPr>
          <w:rFonts w:ascii="Times New Roman" w:hAnsi="Times New Roman" w:cs="Times New Roman"/>
        </w:rPr>
        <w:t>Taejah</w:t>
      </w:r>
      <w:proofErr w:type="spellEnd"/>
      <w:r w:rsidRPr="006056B7">
        <w:rPr>
          <w:rFonts w:ascii="Times New Roman" w:hAnsi="Times New Roman" w:cs="Times New Roman"/>
        </w:rPr>
        <w:t xml:space="preserve"> Goode, Julia Stokes and Grant Fritz, look on. (Photo by Chip </w:t>
      </w:r>
      <w:proofErr w:type="spellStart"/>
      <w:r w:rsidRPr="006056B7">
        <w:rPr>
          <w:rFonts w:ascii="Times New Roman" w:hAnsi="Times New Roman" w:cs="Times New Roman"/>
        </w:rPr>
        <w:t>Somodevilla</w:t>
      </w:r>
      <w:proofErr w:type="spellEnd"/>
      <w:r w:rsidRPr="006056B7">
        <w:rPr>
          <w:rFonts w:ascii="Times New Roman" w:hAnsi="Times New Roman" w:cs="Times New Roman"/>
        </w:rPr>
        <w:t>/Getty Images)</w:t>
      </w:r>
    </w:p>
    <w:p w:rsidR="006056B7" w:rsidRPr="006056B7" w:rsidRDefault="006056B7" w:rsidP="006056B7">
      <w:pPr>
        <w:spacing w:after="0"/>
        <w:rPr>
          <w:rFonts w:ascii="Times New Roman" w:hAnsi="Times New Roman" w:cs="Times New Roman"/>
        </w:rPr>
      </w:pPr>
    </w:p>
    <w:p w:rsidR="006056B7" w:rsidRPr="006056B7" w:rsidRDefault="006056B7" w:rsidP="006056B7">
      <w:pPr>
        <w:spacing w:after="0"/>
        <w:rPr>
          <w:rFonts w:ascii="Times New Roman" w:hAnsi="Times New Roman" w:cs="Times New Roman"/>
        </w:rPr>
      </w:pPr>
      <w:r w:rsidRPr="006056B7">
        <w:rPr>
          <w:rFonts w:ascii="Times New Roman" w:hAnsi="Times New Roman" w:cs="Times New Roman"/>
        </w:rPr>
        <w:t>President Obama has signed 23 executive orders designed to address the problem of gun violence in America. The following are the items addressed:</w:t>
      </w:r>
    </w:p>
    <w:p w:rsidR="006056B7" w:rsidRPr="006056B7" w:rsidRDefault="006056B7" w:rsidP="006056B7">
      <w:pPr>
        <w:spacing w:after="0"/>
        <w:rPr>
          <w:rFonts w:ascii="Times New Roman" w:hAnsi="Times New Roman" w:cs="Times New Roman"/>
        </w:rPr>
      </w:pPr>
    </w:p>
    <w:p w:rsidR="006056B7" w:rsidRPr="006056B7" w:rsidRDefault="006056B7" w:rsidP="006056B7">
      <w:pPr>
        <w:spacing w:after="0"/>
        <w:rPr>
          <w:rFonts w:ascii="Times New Roman" w:hAnsi="Times New Roman" w:cs="Times New Roman"/>
          <w:b/>
        </w:rPr>
      </w:pPr>
      <w:r w:rsidRPr="006056B7">
        <w:rPr>
          <w:rFonts w:ascii="Times New Roman" w:hAnsi="Times New Roman" w:cs="Times New Roman"/>
          <w:b/>
        </w:rPr>
        <w:t>Gun Violence Reduction Executive Actions:</w:t>
      </w:r>
    </w:p>
    <w:p w:rsidR="006056B7" w:rsidRPr="006056B7" w:rsidRDefault="006056B7" w:rsidP="006056B7">
      <w:pPr>
        <w:spacing w:after="0"/>
        <w:rPr>
          <w:rFonts w:ascii="Times New Roman" w:hAnsi="Times New Roman" w:cs="Times New Roman"/>
        </w:rPr>
      </w:pPr>
    </w:p>
    <w:p w:rsidR="006056B7" w:rsidRPr="006056B7" w:rsidRDefault="006056B7" w:rsidP="006056B7">
      <w:pPr>
        <w:spacing w:after="0"/>
        <w:rPr>
          <w:rFonts w:ascii="Times New Roman" w:hAnsi="Times New Roman" w:cs="Times New Roman"/>
        </w:rPr>
      </w:pPr>
      <w:r w:rsidRPr="006056B7">
        <w:rPr>
          <w:rFonts w:ascii="Times New Roman" w:hAnsi="Times New Roman" w:cs="Times New Roman"/>
        </w:rPr>
        <w:t>1. Issue a Presidential Memorandum to require federal agencies to make relevant data available to the federal background check system.</w:t>
      </w:r>
    </w:p>
    <w:p w:rsidR="006056B7" w:rsidRPr="006056B7" w:rsidRDefault="006056B7" w:rsidP="006056B7">
      <w:pPr>
        <w:spacing w:after="0"/>
        <w:rPr>
          <w:rFonts w:ascii="Times New Roman" w:hAnsi="Times New Roman" w:cs="Times New Roman"/>
        </w:rPr>
      </w:pPr>
    </w:p>
    <w:p w:rsidR="006056B7" w:rsidRPr="006056B7" w:rsidRDefault="006056B7" w:rsidP="006056B7">
      <w:pPr>
        <w:spacing w:after="0"/>
        <w:rPr>
          <w:rFonts w:ascii="Times New Roman" w:hAnsi="Times New Roman" w:cs="Times New Roman"/>
        </w:rPr>
      </w:pPr>
      <w:r w:rsidRPr="006056B7">
        <w:rPr>
          <w:rFonts w:ascii="Times New Roman" w:hAnsi="Times New Roman" w:cs="Times New Roman"/>
        </w:rPr>
        <w:t xml:space="preserve">2. Address unnecessary legal barriers, particularly relating to the Health Insurance Portability and Accountability </w:t>
      </w:r>
      <w:proofErr w:type="gramStart"/>
      <w:r w:rsidRPr="006056B7">
        <w:rPr>
          <w:rFonts w:ascii="Times New Roman" w:hAnsi="Times New Roman" w:cs="Times New Roman"/>
        </w:rPr>
        <w:t>Act, that</w:t>
      </w:r>
      <w:proofErr w:type="gramEnd"/>
      <w:r w:rsidRPr="006056B7">
        <w:rPr>
          <w:rFonts w:ascii="Times New Roman" w:hAnsi="Times New Roman" w:cs="Times New Roman"/>
        </w:rPr>
        <w:t xml:space="preserve"> may prevent states from making information available to the background check system.</w:t>
      </w:r>
    </w:p>
    <w:p w:rsidR="006056B7" w:rsidRPr="006056B7" w:rsidRDefault="006056B7" w:rsidP="006056B7">
      <w:pPr>
        <w:spacing w:after="0"/>
        <w:rPr>
          <w:rFonts w:ascii="Times New Roman" w:hAnsi="Times New Roman" w:cs="Times New Roman"/>
        </w:rPr>
      </w:pPr>
    </w:p>
    <w:p w:rsidR="006056B7" w:rsidRPr="006056B7" w:rsidRDefault="006056B7" w:rsidP="006056B7">
      <w:pPr>
        <w:spacing w:after="0"/>
        <w:rPr>
          <w:rFonts w:ascii="Times New Roman" w:hAnsi="Times New Roman" w:cs="Times New Roman"/>
        </w:rPr>
      </w:pPr>
      <w:r w:rsidRPr="006056B7">
        <w:rPr>
          <w:rFonts w:ascii="Times New Roman" w:hAnsi="Times New Roman" w:cs="Times New Roman"/>
        </w:rPr>
        <w:t>3. Improve incentives for states to share information with the background check system.</w:t>
      </w:r>
    </w:p>
    <w:p w:rsidR="006056B7" w:rsidRPr="006056B7" w:rsidRDefault="006056B7" w:rsidP="006056B7">
      <w:pPr>
        <w:spacing w:after="0"/>
        <w:rPr>
          <w:rFonts w:ascii="Times New Roman" w:hAnsi="Times New Roman" w:cs="Times New Roman"/>
        </w:rPr>
      </w:pPr>
    </w:p>
    <w:p w:rsidR="006056B7" w:rsidRPr="006056B7" w:rsidRDefault="006056B7" w:rsidP="006056B7">
      <w:pPr>
        <w:spacing w:after="0"/>
        <w:rPr>
          <w:rFonts w:ascii="Times New Roman" w:hAnsi="Times New Roman" w:cs="Times New Roman"/>
        </w:rPr>
      </w:pPr>
      <w:r w:rsidRPr="006056B7">
        <w:rPr>
          <w:rFonts w:ascii="Times New Roman" w:hAnsi="Times New Roman" w:cs="Times New Roman"/>
        </w:rPr>
        <w:t>4. Direct the Attorney General to review categories of individuals prohibited from having a gun to make sure dangerous people are not slipping through the cracks.</w:t>
      </w:r>
    </w:p>
    <w:p w:rsidR="006056B7" w:rsidRPr="006056B7" w:rsidRDefault="006056B7" w:rsidP="006056B7">
      <w:pPr>
        <w:spacing w:after="0"/>
        <w:rPr>
          <w:rFonts w:ascii="Times New Roman" w:hAnsi="Times New Roman" w:cs="Times New Roman"/>
        </w:rPr>
      </w:pPr>
    </w:p>
    <w:p w:rsidR="006056B7" w:rsidRPr="006056B7" w:rsidRDefault="006056B7" w:rsidP="006056B7">
      <w:pPr>
        <w:spacing w:after="0"/>
        <w:rPr>
          <w:rFonts w:ascii="Times New Roman" w:hAnsi="Times New Roman" w:cs="Times New Roman"/>
        </w:rPr>
      </w:pPr>
      <w:r w:rsidRPr="006056B7">
        <w:rPr>
          <w:rFonts w:ascii="Times New Roman" w:hAnsi="Times New Roman" w:cs="Times New Roman"/>
        </w:rPr>
        <w:t>5. Propose rulemaking to give law enforcement the ability to run a full background check on an individual before returning a seized gun.</w:t>
      </w:r>
    </w:p>
    <w:p w:rsidR="006056B7" w:rsidRPr="006056B7" w:rsidRDefault="006056B7" w:rsidP="006056B7">
      <w:pPr>
        <w:spacing w:after="0"/>
        <w:rPr>
          <w:rFonts w:ascii="Times New Roman" w:hAnsi="Times New Roman" w:cs="Times New Roman"/>
        </w:rPr>
      </w:pPr>
    </w:p>
    <w:p w:rsidR="006056B7" w:rsidRPr="006056B7" w:rsidRDefault="006056B7" w:rsidP="006056B7">
      <w:pPr>
        <w:spacing w:after="0"/>
        <w:rPr>
          <w:rFonts w:ascii="Times New Roman" w:hAnsi="Times New Roman" w:cs="Times New Roman"/>
        </w:rPr>
      </w:pPr>
      <w:r w:rsidRPr="006056B7">
        <w:rPr>
          <w:rFonts w:ascii="Times New Roman" w:hAnsi="Times New Roman" w:cs="Times New Roman"/>
        </w:rPr>
        <w:t>6. Publish a letter from ATF to federally licensed gun dealers providing guidance on how to run background checks for private sellers.</w:t>
      </w:r>
    </w:p>
    <w:p w:rsidR="006056B7" w:rsidRPr="006056B7" w:rsidRDefault="006056B7" w:rsidP="006056B7">
      <w:pPr>
        <w:spacing w:after="0"/>
        <w:rPr>
          <w:rFonts w:ascii="Times New Roman" w:hAnsi="Times New Roman" w:cs="Times New Roman"/>
        </w:rPr>
      </w:pPr>
    </w:p>
    <w:p w:rsidR="006056B7" w:rsidRPr="006056B7" w:rsidRDefault="006056B7" w:rsidP="006056B7">
      <w:pPr>
        <w:spacing w:after="0"/>
        <w:rPr>
          <w:rFonts w:ascii="Times New Roman" w:hAnsi="Times New Roman" w:cs="Times New Roman"/>
        </w:rPr>
      </w:pPr>
      <w:r w:rsidRPr="006056B7">
        <w:rPr>
          <w:rFonts w:ascii="Times New Roman" w:hAnsi="Times New Roman" w:cs="Times New Roman"/>
        </w:rPr>
        <w:t>7. Launch a national safe and responsible gun ownership campaign.</w:t>
      </w:r>
    </w:p>
    <w:p w:rsidR="006056B7" w:rsidRPr="006056B7" w:rsidRDefault="006056B7" w:rsidP="006056B7">
      <w:pPr>
        <w:spacing w:after="0"/>
        <w:rPr>
          <w:rFonts w:ascii="Times New Roman" w:hAnsi="Times New Roman" w:cs="Times New Roman"/>
        </w:rPr>
      </w:pPr>
    </w:p>
    <w:p w:rsidR="006056B7" w:rsidRPr="006056B7" w:rsidRDefault="006056B7" w:rsidP="006056B7">
      <w:pPr>
        <w:spacing w:after="0"/>
        <w:rPr>
          <w:rFonts w:ascii="Times New Roman" w:hAnsi="Times New Roman" w:cs="Times New Roman"/>
        </w:rPr>
      </w:pPr>
      <w:r w:rsidRPr="006056B7">
        <w:rPr>
          <w:rFonts w:ascii="Times New Roman" w:hAnsi="Times New Roman" w:cs="Times New Roman"/>
        </w:rPr>
        <w:t>8. Review safety standards for gun locks and gun safes (Consumer Product Safety Commission).</w:t>
      </w:r>
    </w:p>
    <w:p w:rsidR="006056B7" w:rsidRPr="006056B7" w:rsidRDefault="006056B7" w:rsidP="006056B7">
      <w:pPr>
        <w:spacing w:after="0"/>
        <w:rPr>
          <w:rFonts w:ascii="Times New Roman" w:hAnsi="Times New Roman" w:cs="Times New Roman"/>
        </w:rPr>
      </w:pPr>
    </w:p>
    <w:p w:rsidR="006056B7" w:rsidRPr="006056B7" w:rsidRDefault="006056B7" w:rsidP="006056B7">
      <w:pPr>
        <w:spacing w:after="0"/>
        <w:rPr>
          <w:rFonts w:ascii="Times New Roman" w:hAnsi="Times New Roman" w:cs="Times New Roman"/>
        </w:rPr>
      </w:pPr>
      <w:r w:rsidRPr="006056B7">
        <w:rPr>
          <w:rFonts w:ascii="Times New Roman" w:hAnsi="Times New Roman" w:cs="Times New Roman"/>
        </w:rPr>
        <w:t>9. Issue a Presidential Memorandum to require federal law enforcement to trace guns recovered in criminal investigations.</w:t>
      </w:r>
    </w:p>
    <w:p w:rsidR="006056B7" w:rsidRPr="006056B7" w:rsidRDefault="006056B7" w:rsidP="006056B7">
      <w:pPr>
        <w:spacing w:after="0"/>
        <w:rPr>
          <w:rFonts w:ascii="Times New Roman" w:hAnsi="Times New Roman" w:cs="Times New Roman"/>
        </w:rPr>
      </w:pPr>
    </w:p>
    <w:p w:rsidR="006056B7" w:rsidRPr="006056B7" w:rsidRDefault="006056B7" w:rsidP="006056B7">
      <w:pPr>
        <w:spacing w:after="0"/>
        <w:rPr>
          <w:rFonts w:ascii="Times New Roman" w:hAnsi="Times New Roman" w:cs="Times New Roman"/>
        </w:rPr>
      </w:pPr>
      <w:r w:rsidRPr="006056B7">
        <w:rPr>
          <w:rFonts w:ascii="Times New Roman" w:hAnsi="Times New Roman" w:cs="Times New Roman"/>
        </w:rPr>
        <w:t>10. Release a DOJ report analyzing information on lost and stolen guns and make it</w:t>
      </w:r>
      <w:r w:rsidRPr="006056B7">
        <w:rPr>
          <w:rFonts w:ascii="Times New Roman" w:hAnsi="Times New Roman" w:cs="Times New Roman"/>
        </w:rPr>
        <w:t xml:space="preserve"> </w:t>
      </w:r>
      <w:r w:rsidRPr="006056B7">
        <w:rPr>
          <w:rFonts w:ascii="Times New Roman" w:hAnsi="Times New Roman" w:cs="Times New Roman"/>
        </w:rPr>
        <w:t>widely available to law enforcement.</w:t>
      </w:r>
    </w:p>
    <w:p w:rsidR="006056B7" w:rsidRPr="006056B7" w:rsidRDefault="006056B7" w:rsidP="006056B7">
      <w:pPr>
        <w:spacing w:after="0"/>
        <w:rPr>
          <w:rFonts w:ascii="Times New Roman" w:hAnsi="Times New Roman" w:cs="Times New Roman"/>
        </w:rPr>
      </w:pPr>
    </w:p>
    <w:p w:rsidR="006056B7" w:rsidRPr="006056B7" w:rsidRDefault="006056B7" w:rsidP="006056B7">
      <w:pPr>
        <w:spacing w:after="0"/>
        <w:rPr>
          <w:rFonts w:ascii="Times New Roman" w:hAnsi="Times New Roman" w:cs="Times New Roman"/>
        </w:rPr>
      </w:pPr>
      <w:r w:rsidRPr="006056B7">
        <w:rPr>
          <w:rFonts w:ascii="Times New Roman" w:hAnsi="Times New Roman" w:cs="Times New Roman"/>
        </w:rPr>
        <w:lastRenderedPageBreak/>
        <w:t>11. Nominate an ATF director.</w:t>
      </w:r>
    </w:p>
    <w:p w:rsidR="006056B7" w:rsidRPr="006056B7" w:rsidRDefault="006056B7" w:rsidP="006056B7">
      <w:pPr>
        <w:spacing w:after="0"/>
        <w:rPr>
          <w:rFonts w:ascii="Times New Roman" w:hAnsi="Times New Roman" w:cs="Times New Roman"/>
        </w:rPr>
      </w:pPr>
    </w:p>
    <w:p w:rsidR="006056B7" w:rsidRPr="006056B7" w:rsidRDefault="006056B7" w:rsidP="006056B7">
      <w:pPr>
        <w:spacing w:after="0"/>
        <w:rPr>
          <w:rFonts w:ascii="Times New Roman" w:hAnsi="Times New Roman" w:cs="Times New Roman"/>
        </w:rPr>
      </w:pPr>
      <w:r w:rsidRPr="006056B7">
        <w:rPr>
          <w:rFonts w:ascii="Times New Roman" w:hAnsi="Times New Roman" w:cs="Times New Roman"/>
        </w:rPr>
        <w:t>12. Provide law enforcement, first responders, and school officials with proper training for active shooter situations.</w:t>
      </w:r>
    </w:p>
    <w:p w:rsidR="006056B7" w:rsidRPr="006056B7" w:rsidRDefault="006056B7" w:rsidP="006056B7">
      <w:pPr>
        <w:spacing w:after="0"/>
        <w:rPr>
          <w:rFonts w:ascii="Times New Roman" w:hAnsi="Times New Roman" w:cs="Times New Roman"/>
        </w:rPr>
      </w:pPr>
    </w:p>
    <w:p w:rsidR="006056B7" w:rsidRPr="006056B7" w:rsidRDefault="006056B7" w:rsidP="006056B7">
      <w:pPr>
        <w:spacing w:after="0"/>
        <w:rPr>
          <w:rFonts w:ascii="Times New Roman" w:hAnsi="Times New Roman" w:cs="Times New Roman"/>
        </w:rPr>
      </w:pPr>
      <w:r w:rsidRPr="006056B7">
        <w:rPr>
          <w:rFonts w:ascii="Times New Roman" w:hAnsi="Times New Roman" w:cs="Times New Roman"/>
        </w:rPr>
        <w:t>13. Maximize enforcement efforts to prevent gun violence and prosecute gun crime.</w:t>
      </w:r>
    </w:p>
    <w:p w:rsidR="006056B7" w:rsidRPr="006056B7" w:rsidRDefault="006056B7" w:rsidP="006056B7">
      <w:pPr>
        <w:spacing w:after="0"/>
        <w:rPr>
          <w:rFonts w:ascii="Times New Roman" w:hAnsi="Times New Roman" w:cs="Times New Roman"/>
        </w:rPr>
      </w:pPr>
    </w:p>
    <w:p w:rsidR="006056B7" w:rsidRPr="006056B7" w:rsidRDefault="006056B7" w:rsidP="006056B7">
      <w:pPr>
        <w:spacing w:after="0"/>
        <w:rPr>
          <w:rFonts w:ascii="Times New Roman" w:hAnsi="Times New Roman" w:cs="Times New Roman"/>
        </w:rPr>
      </w:pPr>
      <w:r w:rsidRPr="006056B7">
        <w:rPr>
          <w:rFonts w:ascii="Times New Roman" w:hAnsi="Times New Roman" w:cs="Times New Roman"/>
        </w:rPr>
        <w:t>14. Issue a Presidential Memorandum directing the Centers for Disease Control to research the causes and prevention of gun violence.</w:t>
      </w:r>
    </w:p>
    <w:p w:rsidR="006056B7" w:rsidRPr="006056B7" w:rsidRDefault="006056B7" w:rsidP="006056B7">
      <w:pPr>
        <w:spacing w:after="0"/>
        <w:rPr>
          <w:rFonts w:ascii="Times New Roman" w:hAnsi="Times New Roman" w:cs="Times New Roman"/>
        </w:rPr>
      </w:pPr>
    </w:p>
    <w:p w:rsidR="006056B7" w:rsidRPr="006056B7" w:rsidRDefault="006056B7" w:rsidP="006056B7">
      <w:pPr>
        <w:spacing w:after="0"/>
        <w:rPr>
          <w:rFonts w:ascii="Times New Roman" w:hAnsi="Times New Roman" w:cs="Times New Roman"/>
        </w:rPr>
      </w:pPr>
      <w:r w:rsidRPr="006056B7">
        <w:rPr>
          <w:rFonts w:ascii="Times New Roman" w:hAnsi="Times New Roman" w:cs="Times New Roman"/>
        </w:rPr>
        <w:t>15. Direct the Attorney General to issue a report on the availability and most effective</w:t>
      </w:r>
      <w:r w:rsidRPr="006056B7">
        <w:rPr>
          <w:rFonts w:ascii="Times New Roman" w:hAnsi="Times New Roman" w:cs="Times New Roman"/>
        </w:rPr>
        <w:t xml:space="preserve"> </w:t>
      </w:r>
      <w:r w:rsidRPr="006056B7">
        <w:rPr>
          <w:rFonts w:ascii="Times New Roman" w:hAnsi="Times New Roman" w:cs="Times New Roman"/>
        </w:rPr>
        <w:t>use of new gun safety technologies and challenge the private sector to develop</w:t>
      </w:r>
      <w:r w:rsidRPr="006056B7">
        <w:rPr>
          <w:rFonts w:ascii="Times New Roman" w:hAnsi="Times New Roman" w:cs="Times New Roman"/>
        </w:rPr>
        <w:t xml:space="preserve"> </w:t>
      </w:r>
      <w:r w:rsidRPr="006056B7">
        <w:rPr>
          <w:rFonts w:ascii="Times New Roman" w:hAnsi="Times New Roman" w:cs="Times New Roman"/>
        </w:rPr>
        <w:t>innovative technologies.</w:t>
      </w:r>
    </w:p>
    <w:p w:rsidR="006056B7" w:rsidRPr="006056B7" w:rsidRDefault="006056B7" w:rsidP="006056B7">
      <w:pPr>
        <w:spacing w:after="0"/>
        <w:rPr>
          <w:rFonts w:ascii="Times New Roman" w:hAnsi="Times New Roman" w:cs="Times New Roman"/>
        </w:rPr>
      </w:pPr>
    </w:p>
    <w:p w:rsidR="006056B7" w:rsidRPr="006056B7" w:rsidRDefault="006056B7" w:rsidP="006056B7">
      <w:pPr>
        <w:spacing w:after="0"/>
        <w:rPr>
          <w:rFonts w:ascii="Times New Roman" w:hAnsi="Times New Roman" w:cs="Times New Roman"/>
        </w:rPr>
      </w:pPr>
      <w:r w:rsidRPr="006056B7">
        <w:rPr>
          <w:rFonts w:ascii="Times New Roman" w:hAnsi="Times New Roman" w:cs="Times New Roman"/>
        </w:rPr>
        <w:t>16. Clarify that the Affordable Care Act does not prohibit doctors asking their patients about guns in their homes.</w:t>
      </w:r>
    </w:p>
    <w:p w:rsidR="006056B7" w:rsidRPr="006056B7" w:rsidRDefault="006056B7" w:rsidP="006056B7">
      <w:pPr>
        <w:spacing w:after="0"/>
        <w:rPr>
          <w:rFonts w:ascii="Times New Roman" w:hAnsi="Times New Roman" w:cs="Times New Roman"/>
        </w:rPr>
      </w:pPr>
    </w:p>
    <w:p w:rsidR="006056B7" w:rsidRPr="006056B7" w:rsidRDefault="006056B7" w:rsidP="006056B7">
      <w:pPr>
        <w:spacing w:after="0"/>
        <w:rPr>
          <w:rFonts w:ascii="Times New Roman" w:hAnsi="Times New Roman" w:cs="Times New Roman"/>
        </w:rPr>
      </w:pPr>
      <w:r w:rsidRPr="006056B7">
        <w:rPr>
          <w:rFonts w:ascii="Times New Roman" w:hAnsi="Times New Roman" w:cs="Times New Roman"/>
        </w:rPr>
        <w:t>17. Release a letter to health care providers clarifying that no federal law prohibits them from reporting threats of violence to law enforcement authorities.</w:t>
      </w:r>
    </w:p>
    <w:p w:rsidR="006056B7" w:rsidRPr="006056B7" w:rsidRDefault="006056B7" w:rsidP="006056B7">
      <w:pPr>
        <w:spacing w:after="0"/>
        <w:rPr>
          <w:rFonts w:ascii="Times New Roman" w:hAnsi="Times New Roman" w:cs="Times New Roman"/>
        </w:rPr>
      </w:pPr>
    </w:p>
    <w:p w:rsidR="006056B7" w:rsidRPr="006056B7" w:rsidRDefault="006056B7" w:rsidP="006056B7">
      <w:pPr>
        <w:spacing w:after="0"/>
        <w:rPr>
          <w:rFonts w:ascii="Times New Roman" w:hAnsi="Times New Roman" w:cs="Times New Roman"/>
        </w:rPr>
      </w:pPr>
      <w:r w:rsidRPr="006056B7">
        <w:rPr>
          <w:rFonts w:ascii="Times New Roman" w:hAnsi="Times New Roman" w:cs="Times New Roman"/>
        </w:rPr>
        <w:t>18. Provide incentives for schools to hire school resource officers.</w:t>
      </w:r>
    </w:p>
    <w:p w:rsidR="006056B7" w:rsidRPr="006056B7" w:rsidRDefault="006056B7" w:rsidP="006056B7">
      <w:pPr>
        <w:spacing w:after="0"/>
        <w:rPr>
          <w:rFonts w:ascii="Times New Roman" w:hAnsi="Times New Roman" w:cs="Times New Roman"/>
        </w:rPr>
      </w:pPr>
    </w:p>
    <w:p w:rsidR="006056B7" w:rsidRPr="006056B7" w:rsidRDefault="006056B7" w:rsidP="006056B7">
      <w:pPr>
        <w:spacing w:after="0"/>
        <w:rPr>
          <w:rFonts w:ascii="Times New Roman" w:hAnsi="Times New Roman" w:cs="Times New Roman"/>
        </w:rPr>
      </w:pPr>
      <w:r w:rsidRPr="006056B7">
        <w:rPr>
          <w:rFonts w:ascii="Times New Roman" w:hAnsi="Times New Roman" w:cs="Times New Roman"/>
        </w:rPr>
        <w:t>19. Develop model emergency response plans for schools, houses of worship and institutions of higher education.</w:t>
      </w:r>
    </w:p>
    <w:p w:rsidR="006056B7" w:rsidRPr="006056B7" w:rsidRDefault="006056B7" w:rsidP="006056B7">
      <w:pPr>
        <w:spacing w:after="0"/>
        <w:rPr>
          <w:rFonts w:ascii="Times New Roman" w:hAnsi="Times New Roman" w:cs="Times New Roman"/>
        </w:rPr>
      </w:pPr>
    </w:p>
    <w:p w:rsidR="006056B7" w:rsidRPr="006056B7" w:rsidRDefault="006056B7" w:rsidP="006056B7">
      <w:pPr>
        <w:spacing w:after="0"/>
        <w:rPr>
          <w:rFonts w:ascii="Times New Roman" w:hAnsi="Times New Roman" w:cs="Times New Roman"/>
        </w:rPr>
      </w:pPr>
      <w:r w:rsidRPr="006056B7">
        <w:rPr>
          <w:rFonts w:ascii="Times New Roman" w:hAnsi="Times New Roman" w:cs="Times New Roman"/>
        </w:rPr>
        <w:t>20. Release a letter to state health officials clarifying the scope of mental health services that Medicaid plans must cover.</w:t>
      </w:r>
    </w:p>
    <w:p w:rsidR="006056B7" w:rsidRPr="006056B7" w:rsidRDefault="006056B7" w:rsidP="006056B7">
      <w:pPr>
        <w:spacing w:after="0"/>
        <w:rPr>
          <w:rFonts w:ascii="Times New Roman" w:hAnsi="Times New Roman" w:cs="Times New Roman"/>
        </w:rPr>
      </w:pPr>
    </w:p>
    <w:p w:rsidR="006056B7" w:rsidRPr="006056B7" w:rsidRDefault="006056B7" w:rsidP="006056B7">
      <w:pPr>
        <w:spacing w:after="0"/>
        <w:rPr>
          <w:rFonts w:ascii="Times New Roman" w:hAnsi="Times New Roman" w:cs="Times New Roman"/>
        </w:rPr>
      </w:pPr>
      <w:r w:rsidRPr="006056B7">
        <w:rPr>
          <w:rFonts w:ascii="Times New Roman" w:hAnsi="Times New Roman" w:cs="Times New Roman"/>
        </w:rPr>
        <w:t>21. Finalize regulations clarifying essential health benefits and parity requirements within ACA exchanges.</w:t>
      </w:r>
    </w:p>
    <w:p w:rsidR="006056B7" w:rsidRPr="006056B7" w:rsidRDefault="006056B7" w:rsidP="006056B7">
      <w:pPr>
        <w:spacing w:after="0"/>
        <w:rPr>
          <w:rFonts w:ascii="Times New Roman" w:hAnsi="Times New Roman" w:cs="Times New Roman"/>
        </w:rPr>
      </w:pPr>
    </w:p>
    <w:p w:rsidR="006056B7" w:rsidRPr="006056B7" w:rsidRDefault="006056B7" w:rsidP="006056B7">
      <w:pPr>
        <w:spacing w:after="0"/>
        <w:rPr>
          <w:rFonts w:ascii="Times New Roman" w:hAnsi="Times New Roman" w:cs="Times New Roman"/>
        </w:rPr>
      </w:pPr>
      <w:r w:rsidRPr="006056B7">
        <w:rPr>
          <w:rFonts w:ascii="Times New Roman" w:hAnsi="Times New Roman" w:cs="Times New Roman"/>
        </w:rPr>
        <w:t>22. Commit to finalizing mental health parity regulations.</w:t>
      </w:r>
    </w:p>
    <w:p w:rsidR="006056B7" w:rsidRPr="006056B7" w:rsidRDefault="006056B7" w:rsidP="006056B7">
      <w:pPr>
        <w:spacing w:after="0"/>
        <w:rPr>
          <w:rFonts w:ascii="Times New Roman" w:hAnsi="Times New Roman" w:cs="Times New Roman"/>
        </w:rPr>
      </w:pPr>
    </w:p>
    <w:p w:rsidR="006056B7" w:rsidRPr="006056B7" w:rsidRDefault="006056B7" w:rsidP="006056B7">
      <w:pPr>
        <w:spacing w:after="0"/>
        <w:rPr>
          <w:rFonts w:ascii="Times New Roman" w:hAnsi="Times New Roman" w:cs="Times New Roman"/>
        </w:rPr>
      </w:pPr>
      <w:r w:rsidRPr="006056B7">
        <w:rPr>
          <w:rFonts w:ascii="Times New Roman" w:hAnsi="Times New Roman" w:cs="Times New Roman"/>
        </w:rPr>
        <w:t xml:space="preserve">23. Launch a national dialogue led by Secretaries </w:t>
      </w:r>
      <w:proofErr w:type="spellStart"/>
      <w:r w:rsidRPr="006056B7">
        <w:rPr>
          <w:rFonts w:ascii="Times New Roman" w:hAnsi="Times New Roman" w:cs="Times New Roman"/>
        </w:rPr>
        <w:t>Sebelius</w:t>
      </w:r>
      <w:proofErr w:type="spellEnd"/>
      <w:r w:rsidRPr="006056B7">
        <w:rPr>
          <w:rFonts w:ascii="Times New Roman" w:hAnsi="Times New Roman" w:cs="Times New Roman"/>
        </w:rPr>
        <w:t xml:space="preserve"> and Duncan on mental health.</w:t>
      </w:r>
    </w:p>
    <w:p w:rsidR="006056B7" w:rsidRPr="006056B7" w:rsidRDefault="006056B7" w:rsidP="006056B7">
      <w:pPr>
        <w:spacing w:after="0"/>
        <w:rPr>
          <w:rFonts w:ascii="Times New Roman" w:hAnsi="Times New Roman" w:cs="Times New Roman"/>
        </w:rPr>
      </w:pPr>
    </w:p>
    <w:p w:rsidR="002F0F3C" w:rsidRDefault="006056B7" w:rsidP="006056B7">
      <w:pPr>
        <w:spacing w:after="0"/>
        <w:rPr>
          <w:rFonts w:ascii="Times New Roman" w:hAnsi="Times New Roman" w:cs="Times New Roman"/>
        </w:rPr>
      </w:pPr>
      <w:r w:rsidRPr="006056B7">
        <w:rPr>
          <w:rFonts w:ascii="Times New Roman" w:hAnsi="Times New Roman" w:cs="Times New Roman"/>
        </w:rPr>
        <w:t>It does not appear that any of the executive orders would have any impact on the guns people currently own-or would like to purchase- and that all proposals regarding limiting the availability of assault weapons or large ammunition magazines will be proposed for Congressional action. As such, any potential effort to create a constitutional crisis—or the leveling of charges that the White House has overstepped its executive authority—would hold no validity.</w:t>
      </w:r>
    </w:p>
    <w:p w:rsidR="006056B7" w:rsidRDefault="006056B7" w:rsidP="006056B7">
      <w:pPr>
        <w:spacing w:after="0"/>
        <w:rPr>
          <w:rFonts w:ascii="Times New Roman" w:hAnsi="Times New Roman" w:cs="Times New Roman"/>
        </w:rPr>
      </w:pPr>
    </w:p>
    <w:p w:rsidR="006056B7" w:rsidRDefault="006056B7" w:rsidP="006056B7">
      <w:pPr>
        <w:spacing w:after="0"/>
        <w:rPr>
          <w:rFonts w:ascii="Times New Roman" w:hAnsi="Times New Roman" w:cs="Times New Roman"/>
        </w:rPr>
      </w:pPr>
    </w:p>
    <w:p w:rsidR="006056B7" w:rsidRDefault="006056B7" w:rsidP="006056B7">
      <w:pPr>
        <w:spacing w:after="0"/>
        <w:rPr>
          <w:rFonts w:ascii="Times New Roman" w:hAnsi="Times New Roman" w:cs="Times New Roman"/>
        </w:rPr>
      </w:pPr>
    </w:p>
    <w:p w:rsidR="006056B7" w:rsidRDefault="006056B7" w:rsidP="006056B7">
      <w:pPr>
        <w:spacing w:after="0"/>
        <w:rPr>
          <w:rFonts w:ascii="Times New Roman" w:hAnsi="Times New Roman" w:cs="Times New Roman"/>
        </w:rPr>
      </w:pPr>
    </w:p>
    <w:p w:rsidR="006056B7" w:rsidRDefault="006056B7" w:rsidP="006056B7">
      <w:pPr>
        <w:spacing w:after="0"/>
        <w:rPr>
          <w:rFonts w:ascii="Times New Roman" w:hAnsi="Times New Roman" w:cs="Times New Roman"/>
        </w:rPr>
      </w:pPr>
    </w:p>
    <w:p w:rsidR="006056B7" w:rsidRDefault="006056B7" w:rsidP="006056B7">
      <w:pPr>
        <w:spacing w:after="0"/>
        <w:rPr>
          <w:rFonts w:ascii="Times New Roman" w:hAnsi="Times New Roman" w:cs="Times New Roman"/>
        </w:rPr>
      </w:pPr>
    </w:p>
    <w:p w:rsidR="006056B7" w:rsidRDefault="006056B7" w:rsidP="006056B7">
      <w:pPr>
        <w:spacing w:after="0"/>
        <w:rPr>
          <w:rFonts w:ascii="Times New Roman" w:hAnsi="Times New Roman" w:cs="Times New Roman"/>
        </w:rPr>
      </w:pPr>
    </w:p>
    <w:p w:rsidR="006056B7" w:rsidRDefault="006056B7" w:rsidP="006056B7">
      <w:pPr>
        <w:spacing w:after="0"/>
        <w:rPr>
          <w:rFonts w:ascii="Times New Roman" w:hAnsi="Times New Roman" w:cs="Times New Roman"/>
        </w:rPr>
      </w:pPr>
    </w:p>
    <w:p w:rsidR="003A7604" w:rsidRPr="003A7604" w:rsidRDefault="003A7604" w:rsidP="003A7604">
      <w:pPr>
        <w:shd w:val="clear" w:color="auto" w:fill="FFFFFF"/>
        <w:spacing w:after="0" w:line="240" w:lineRule="auto"/>
        <w:outlineLvl w:val="0"/>
        <w:rPr>
          <w:rFonts w:ascii="Arial" w:eastAsia="Times New Roman" w:hAnsi="Arial" w:cs="Arial"/>
          <w:color w:val="000000"/>
          <w:spacing w:val="-15"/>
          <w:kern w:val="36"/>
          <w:sz w:val="42"/>
          <w:szCs w:val="42"/>
        </w:rPr>
      </w:pPr>
      <w:r w:rsidRPr="003A7604">
        <w:rPr>
          <w:rFonts w:ascii="Arial" w:eastAsia="Times New Roman" w:hAnsi="Arial" w:cs="Arial"/>
          <w:i/>
          <w:color w:val="000000"/>
          <w:spacing w:val="-15"/>
          <w:kern w:val="36"/>
          <w:sz w:val="42"/>
          <w:szCs w:val="42"/>
        </w:rPr>
        <w:lastRenderedPageBreak/>
        <w:t>District of Columbia v. Heller</w:t>
      </w:r>
      <w:r w:rsidRPr="003A7604">
        <w:rPr>
          <w:rFonts w:ascii="Arial" w:eastAsia="Times New Roman" w:hAnsi="Arial" w:cs="Arial"/>
          <w:color w:val="000000"/>
          <w:spacing w:val="-15"/>
          <w:kern w:val="36"/>
          <w:sz w:val="42"/>
          <w:szCs w:val="42"/>
        </w:rPr>
        <w:t xml:space="preserve"> – Case Brief Summary</w:t>
      </w:r>
    </w:p>
    <w:p w:rsidR="003A7604" w:rsidRPr="003A7604" w:rsidRDefault="003A7604" w:rsidP="003A7604">
      <w:pPr>
        <w:shd w:val="clear" w:color="auto" w:fill="FFFFFF"/>
        <w:spacing w:after="0" w:line="270" w:lineRule="atLeast"/>
        <w:rPr>
          <w:rFonts w:ascii="Arial" w:eastAsia="Times New Roman" w:hAnsi="Arial" w:cs="Arial"/>
          <w:color w:val="000000"/>
          <w:sz w:val="20"/>
          <w:szCs w:val="20"/>
        </w:rPr>
      </w:pPr>
      <w:r w:rsidRPr="003A7604">
        <w:rPr>
          <w:rFonts w:ascii="Arial" w:eastAsia="Times New Roman" w:hAnsi="Arial" w:cs="Arial"/>
          <w:color w:val="000000"/>
          <w:sz w:val="20"/>
          <w:szCs w:val="20"/>
        </w:rPr>
        <w:t>Summary of </w:t>
      </w:r>
      <w:r w:rsidRPr="003A7604">
        <w:rPr>
          <w:rFonts w:ascii="Arial" w:eastAsia="Times New Roman" w:hAnsi="Arial" w:cs="Arial"/>
          <w:i/>
          <w:iCs/>
          <w:color w:val="000000"/>
          <w:sz w:val="20"/>
          <w:szCs w:val="20"/>
        </w:rPr>
        <w:t>District of Columbia v. Heller</w:t>
      </w:r>
      <w:r w:rsidRPr="003A7604">
        <w:rPr>
          <w:rFonts w:ascii="Arial" w:eastAsia="Times New Roman" w:hAnsi="Arial" w:cs="Arial"/>
          <w:color w:val="000000"/>
          <w:sz w:val="20"/>
          <w:szCs w:val="20"/>
        </w:rPr>
        <w:t>, 554 U.S. __, 128 S. Ct. 2783, 171 L. Ed. 2d 637 (2008).</w:t>
      </w:r>
    </w:p>
    <w:p w:rsidR="003A7604" w:rsidRPr="003A7604" w:rsidRDefault="003A7604" w:rsidP="003A7604">
      <w:pPr>
        <w:shd w:val="clear" w:color="auto" w:fill="FFFFFF"/>
        <w:spacing w:before="75" w:after="105" w:line="240" w:lineRule="auto"/>
        <w:outlineLvl w:val="1"/>
        <w:rPr>
          <w:rFonts w:ascii="Arial" w:eastAsia="Times New Roman" w:hAnsi="Arial" w:cs="Arial"/>
          <w:b/>
          <w:bCs/>
          <w:color w:val="000000"/>
          <w:sz w:val="24"/>
          <w:szCs w:val="24"/>
        </w:rPr>
      </w:pPr>
      <w:r w:rsidRPr="003A7604">
        <w:rPr>
          <w:rFonts w:ascii="Arial" w:eastAsia="Times New Roman" w:hAnsi="Arial" w:cs="Arial"/>
          <w:b/>
          <w:bCs/>
          <w:color w:val="000000"/>
          <w:sz w:val="24"/>
          <w:szCs w:val="24"/>
        </w:rPr>
        <w:t>Facts</w:t>
      </w:r>
    </w:p>
    <w:p w:rsidR="003A7604" w:rsidRPr="003A7604" w:rsidRDefault="003A7604" w:rsidP="003A7604">
      <w:pPr>
        <w:shd w:val="clear" w:color="auto" w:fill="FFFFFF"/>
        <w:spacing w:after="225" w:line="270" w:lineRule="atLeast"/>
        <w:rPr>
          <w:rFonts w:ascii="Arial" w:eastAsia="Times New Roman" w:hAnsi="Arial" w:cs="Arial"/>
          <w:color w:val="000000"/>
          <w:sz w:val="20"/>
          <w:szCs w:val="20"/>
        </w:rPr>
      </w:pPr>
      <w:r w:rsidRPr="003A7604">
        <w:rPr>
          <w:rFonts w:ascii="Arial" w:eastAsia="Times New Roman" w:hAnsi="Arial" w:cs="Arial"/>
          <w:color w:val="000000"/>
          <w:sz w:val="20"/>
          <w:szCs w:val="20"/>
        </w:rPr>
        <w:t>Handgun possession is banned under District of Columbia (D) law. The law prohibits the registration of handguns and makes it a crime to carry an unregistered firearm. Furthermore all lawfully owned firearms must be kept unloaded and dissembled or bound by a trigger lock unless they are being used for lawful recreational activities or located in a place of business.</w:t>
      </w:r>
    </w:p>
    <w:p w:rsidR="003A7604" w:rsidRPr="003A7604" w:rsidRDefault="003A7604" w:rsidP="003A7604">
      <w:pPr>
        <w:shd w:val="clear" w:color="auto" w:fill="FFFFFF"/>
        <w:spacing w:after="225" w:line="270" w:lineRule="atLeast"/>
        <w:rPr>
          <w:rFonts w:ascii="Arial" w:eastAsia="Times New Roman" w:hAnsi="Arial" w:cs="Arial"/>
          <w:color w:val="000000"/>
          <w:sz w:val="20"/>
          <w:szCs w:val="20"/>
        </w:rPr>
      </w:pPr>
      <w:r w:rsidRPr="003A7604">
        <w:rPr>
          <w:rFonts w:ascii="Arial" w:eastAsia="Times New Roman" w:hAnsi="Arial" w:cs="Arial"/>
          <w:color w:val="000000"/>
          <w:sz w:val="20"/>
          <w:szCs w:val="20"/>
        </w:rPr>
        <w:t>Dick Heller (P) is a special police officer in the District of Columbia. The District refused Heller’s application to register a handgun he wished to keep in his home. Heller filed this lawsuit in the Federal District Court for the District of Columbia on Second Amendment grounds. Heller sought an injunction against enforcement of the bar on handgun registration, the licensing requirement prohibiting the carrying of a firearm in the home without a license, and the trigger-lock requirement insofar as it prohibits the use of functional firearms within the home.</w:t>
      </w:r>
    </w:p>
    <w:p w:rsidR="003A7604" w:rsidRPr="003A7604" w:rsidRDefault="003A7604" w:rsidP="003A7604">
      <w:pPr>
        <w:shd w:val="clear" w:color="auto" w:fill="FFFFFF"/>
        <w:spacing w:after="225" w:line="270" w:lineRule="atLeast"/>
        <w:rPr>
          <w:rFonts w:ascii="Arial" w:eastAsia="Times New Roman" w:hAnsi="Arial" w:cs="Arial"/>
          <w:color w:val="000000"/>
          <w:sz w:val="20"/>
          <w:szCs w:val="20"/>
        </w:rPr>
      </w:pPr>
      <w:r w:rsidRPr="003A7604">
        <w:rPr>
          <w:rFonts w:ascii="Arial" w:eastAsia="Times New Roman" w:hAnsi="Arial" w:cs="Arial"/>
          <w:color w:val="000000"/>
          <w:sz w:val="20"/>
          <w:szCs w:val="20"/>
        </w:rPr>
        <w:t xml:space="preserve">The District Court dismissed Heller’s complaint. The Court of Appeals for the District of Columbia Circuit reversed and directed the District Court to enter summary judgment in favor of the District of Columbia. The Court of Appeals construed Heller’s complaint as seeking the right to render a firearm operable and carry it in his home only when necessary for </w:t>
      </w:r>
      <w:proofErr w:type="spellStart"/>
      <w:r w:rsidRPr="003A7604">
        <w:rPr>
          <w:rFonts w:ascii="Arial" w:eastAsia="Times New Roman" w:hAnsi="Arial" w:cs="Arial"/>
          <w:color w:val="000000"/>
          <w:sz w:val="20"/>
          <w:szCs w:val="20"/>
        </w:rPr>
        <w:t>self defense</w:t>
      </w:r>
      <w:proofErr w:type="spellEnd"/>
      <w:r w:rsidRPr="003A7604">
        <w:rPr>
          <w:rFonts w:ascii="Arial" w:eastAsia="Times New Roman" w:hAnsi="Arial" w:cs="Arial"/>
          <w:color w:val="000000"/>
          <w:sz w:val="20"/>
          <w:szCs w:val="20"/>
        </w:rPr>
        <w:t>, and held that the total ban on handguns violated the individual right to possess firearms under the Second Amendment. The Supreme Court granted certiorari.</w:t>
      </w:r>
    </w:p>
    <w:p w:rsidR="003A7604" w:rsidRPr="003A7604" w:rsidRDefault="003A7604" w:rsidP="003A7604">
      <w:pPr>
        <w:shd w:val="clear" w:color="auto" w:fill="FFFFFF"/>
        <w:spacing w:before="75" w:after="105" w:line="240" w:lineRule="auto"/>
        <w:outlineLvl w:val="1"/>
        <w:rPr>
          <w:rFonts w:ascii="Arial" w:eastAsia="Times New Roman" w:hAnsi="Arial" w:cs="Arial"/>
          <w:b/>
          <w:bCs/>
          <w:color w:val="000000"/>
          <w:sz w:val="24"/>
          <w:szCs w:val="24"/>
        </w:rPr>
      </w:pPr>
      <w:r w:rsidRPr="003A7604">
        <w:rPr>
          <w:rFonts w:ascii="Arial" w:eastAsia="Times New Roman" w:hAnsi="Arial" w:cs="Arial"/>
          <w:b/>
          <w:bCs/>
          <w:color w:val="000000"/>
          <w:sz w:val="24"/>
          <w:szCs w:val="24"/>
        </w:rPr>
        <w:t>Issue</w:t>
      </w:r>
    </w:p>
    <w:p w:rsidR="003A7604" w:rsidRPr="003A7604" w:rsidRDefault="003A7604" w:rsidP="003A7604">
      <w:pPr>
        <w:numPr>
          <w:ilvl w:val="0"/>
          <w:numId w:val="1"/>
        </w:numPr>
        <w:shd w:val="clear" w:color="auto" w:fill="FFFFFF"/>
        <w:spacing w:after="75" w:line="270" w:lineRule="atLeast"/>
        <w:ind w:left="450"/>
        <w:rPr>
          <w:rFonts w:ascii="Arial" w:eastAsia="Times New Roman" w:hAnsi="Arial" w:cs="Arial"/>
          <w:color w:val="000000"/>
          <w:sz w:val="20"/>
          <w:szCs w:val="20"/>
        </w:rPr>
      </w:pPr>
      <w:r w:rsidRPr="003A7604">
        <w:rPr>
          <w:rFonts w:ascii="Arial" w:eastAsia="Times New Roman" w:hAnsi="Arial" w:cs="Arial"/>
          <w:color w:val="000000"/>
          <w:sz w:val="20"/>
          <w:szCs w:val="20"/>
        </w:rPr>
        <w:t>What rights are protected by the Second Amendment?</w:t>
      </w:r>
    </w:p>
    <w:p w:rsidR="003A7604" w:rsidRPr="003A7604" w:rsidRDefault="003A7604" w:rsidP="003A7604">
      <w:pPr>
        <w:shd w:val="clear" w:color="auto" w:fill="FFFFFF"/>
        <w:spacing w:before="75" w:after="105" w:line="240" w:lineRule="auto"/>
        <w:outlineLvl w:val="1"/>
        <w:rPr>
          <w:rFonts w:ascii="Arial" w:eastAsia="Times New Roman" w:hAnsi="Arial" w:cs="Arial"/>
          <w:b/>
          <w:bCs/>
          <w:color w:val="000000"/>
          <w:sz w:val="24"/>
          <w:szCs w:val="24"/>
        </w:rPr>
      </w:pPr>
      <w:r w:rsidRPr="003A7604">
        <w:rPr>
          <w:rFonts w:ascii="Arial" w:eastAsia="Times New Roman" w:hAnsi="Arial" w:cs="Arial"/>
          <w:b/>
          <w:bCs/>
          <w:color w:val="000000"/>
          <w:sz w:val="24"/>
          <w:szCs w:val="24"/>
        </w:rPr>
        <w:t>Holding and Rule (Scalia)</w:t>
      </w:r>
    </w:p>
    <w:p w:rsidR="003A7604" w:rsidRPr="003A7604" w:rsidRDefault="003A7604" w:rsidP="003A7604">
      <w:pPr>
        <w:numPr>
          <w:ilvl w:val="0"/>
          <w:numId w:val="2"/>
        </w:numPr>
        <w:shd w:val="clear" w:color="auto" w:fill="FFFFFF"/>
        <w:spacing w:after="75" w:line="270" w:lineRule="atLeast"/>
        <w:ind w:left="450"/>
        <w:rPr>
          <w:rFonts w:ascii="Arial" w:eastAsia="Times New Roman" w:hAnsi="Arial" w:cs="Arial"/>
          <w:color w:val="000000"/>
          <w:sz w:val="20"/>
          <w:szCs w:val="20"/>
        </w:rPr>
      </w:pPr>
      <w:r w:rsidRPr="003A7604">
        <w:rPr>
          <w:rFonts w:ascii="Arial" w:eastAsia="Times New Roman" w:hAnsi="Arial" w:cs="Arial"/>
          <w:color w:val="000000"/>
          <w:sz w:val="20"/>
          <w:szCs w:val="20"/>
        </w:rPr>
        <w:t>The Second Amendment protects an individual right to possess a firearm unconnected with service in a militia, and to use that arm for traditionally lawful purposes, such as self-defense within the home.</w:t>
      </w:r>
    </w:p>
    <w:p w:rsidR="003A7604" w:rsidRPr="003A7604" w:rsidRDefault="003A7604" w:rsidP="003A7604">
      <w:pPr>
        <w:shd w:val="clear" w:color="auto" w:fill="FFFFFF"/>
        <w:spacing w:after="225" w:line="240" w:lineRule="auto"/>
        <w:outlineLvl w:val="2"/>
        <w:rPr>
          <w:rFonts w:ascii="Arial" w:eastAsia="Times New Roman" w:hAnsi="Arial" w:cs="Arial"/>
          <w:b/>
          <w:bCs/>
          <w:color w:val="000000"/>
          <w:sz w:val="21"/>
          <w:szCs w:val="21"/>
        </w:rPr>
      </w:pPr>
      <w:r w:rsidRPr="003A7604">
        <w:rPr>
          <w:rFonts w:ascii="Arial" w:eastAsia="Times New Roman" w:hAnsi="Arial" w:cs="Arial"/>
          <w:b/>
          <w:bCs/>
          <w:color w:val="000000"/>
          <w:sz w:val="21"/>
          <w:szCs w:val="21"/>
        </w:rPr>
        <w:t>Text of the Second Amendment</w:t>
      </w:r>
    </w:p>
    <w:p w:rsidR="003A7604" w:rsidRPr="003A7604" w:rsidRDefault="003A7604" w:rsidP="003A7604">
      <w:pPr>
        <w:shd w:val="clear" w:color="auto" w:fill="FFFFFF"/>
        <w:spacing w:after="225" w:line="270" w:lineRule="atLeast"/>
        <w:rPr>
          <w:rFonts w:ascii="Arial" w:eastAsia="Times New Roman" w:hAnsi="Arial" w:cs="Arial"/>
          <w:color w:val="000000"/>
          <w:sz w:val="20"/>
          <w:szCs w:val="20"/>
        </w:rPr>
      </w:pPr>
      <w:r w:rsidRPr="003A7604">
        <w:rPr>
          <w:rFonts w:ascii="Arial" w:eastAsia="Times New Roman" w:hAnsi="Arial" w:cs="Arial"/>
          <w:color w:val="000000"/>
          <w:sz w:val="20"/>
          <w:szCs w:val="20"/>
        </w:rPr>
        <w:t xml:space="preserve">A </w:t>
      </w:r>
      <w:proofErr w:type="spellStart"/>
      <w:r w:rsidRPr="003A7604">
        <w:rPr>
          <w:rFonts w:ascii="Arial" w:eastAsia="Times New Roman" w:hAnsi="Arial" w:cs="Arial"/>
          <w:color w:val="000000"/>
          <w:sz w:val="20"/>
          <w:szCs w:val="20"/>
        </w:rPr>
        <w:t>well regulated</w:t>
      </w:r>
      <w:proofErr w:type="spellEnd"/>
      <w:r w:rsidRPr="003A7604">
        <w:rPr>
          <w:rFonts w:ascii="Arial" w:eastAsia="Times New Roman" w:hAnsi="Arial" w:cs="Arial"/>
          <w:color w:val="000000"/>
          <w:sz w:val="20"/>
          <w:szCs w:val="20"/>
        </w:rPr>
        <w:t xml:space="preserve"> Militia, being necessary to the security of a </w:t>
      </w:r>
      <w:proofErr w:type="gramStart"/>
      <w:r w:rsidRPr="003A7604">
        <w:rPr>
          <w:rFonts w:ascii="Arial" w:eastAsia="Times New Roman" w:hAnsi="Arial" w:cs="Arial"/>
          <w:color w:val="000000"/>
          <w:sz w:val="20"/>
          <w:szCs w:val="20"/>
        </w:rPr>
        <w:t>free</w:t>
      </w:r>
      <w:proofErr w:type="gramEnd"/>
      <w:r w:rsidRPr="003A7604">
        <w:rPr>
          <w:rFonts w:ascii="Arial" w:eastAsia="Times New Roman" w:hAnsi="Arial" w:cs="Arial"/>
          <w:color w:val="000000"/>
          <w:sz w:val="20"/>
          <w:szCs w:val="20"/>
        </w:rPr>
        <w:t xml:space="preserve"> State, the right of the people to keep and bear Arms, shall not be infringed.</w:t>
      </w:r>
    </w:p>
    <w:p w:rsidR="003A7604" w:rsidRPr="003A7604" w:rsidRDefault="003A7604" w:rsidP="003A7604">
      <w:pPr>
        <w:shd w:val="clear" w:color="auto" w:fill="FFFFFF"/>
        <w:spacing w:after="225" w:line="240" w:lineRule="auto"/>
        <w:outlineLvl w:val="2"/>
        <w:rPr>
          <w:rFonts w:ascii="Arial" w:eastAsia="Times New Roman" w:hAnsi="Arial" w:cs="Arial"/>
          <w:b/>
          <w:bCs/>
          <w:color w:val="000000"/>
          <w:sz w:val="21"/>
          <w:szCs w:val="21"/>
        </w:rPr>
      </w:pPr>
      <w:r w:rsidRPr="003A7604">
        <w:rPr>
          <w:rFonts w:ascii="Arial" w:eastAsia="Times New Roman" w:hAnsi="Arial" w:cs="Arial"/>
          <w:b/>
          <w:bCs/>
          <w:color w:val="000000"/>
          <w:sz w:val="21"/>
          <w:szCs w:val="21"/>
        </w:rPr>
        <w:t>Constitutional Construction</w:t>
      </w:r>
    </w:p>
    <w:p w:rsidR="003A7604" w:rsidRPr="003A7604" w:rsidRDefault="003A7604" w:rsidP="003A7604">
      <w:pPr>
        <w:shd w:val="clear" w:color="auto" w:fill="FFFFFF"/>
        <w:spacing w:after="225" w:line="270" w:lineRule="atLeast"/>
        <w:rPr>
          <w:rFonts w:ascii="Arial" w:eastAsia="Times New Roman" w:hAnsi="Arial" w:cs="Arial"/>
          <w:color w:val="000000"/>
          <w:sz w:val="20"/>
          <w:szCs w:val="20"/>
        </w:rPr>
      </w:pPr>
      <w:r w:rsidRPr="003A7604">
        <w:rPr>
          <w:rFonts w:ascii="Arial" w:eastAsia="Times New Roman" w:hAnsi="Arial" w:cs="Arial"/>
          <w:color w:val="000000"/>
          <w:sz w:val="20"/>
          <w:szCs w:val="20"/>
        </w:rPr>
        <w:t xml:space="preserve">The prefatory clause “A </w:t>
      </w:r>
      <w:proofErr w:type="spellStart"/>
      <w:r w:rsidRPr="003A7604">
        <w:rPr>
          <w:rFonts w:ascii="Arial" w:eastAsia="Times New Roman" w:hAnsi="Arial" w:cs="Arial"/>
          <w:color w:val="000000"/>
          <w:sz w:val="20"/>
          <w:szCs w:val="20"/>
        </w:rPr>
        <w:t>well regulated</w:t>
      </w:r>
      <w:proofErr w:type="spellEnd"/>
      <w:r w:rsidRPr="003A7604">
        <w:rPr>
          <w:rFonts w:ascii="Arial" w:eastAsia="Times New Roman" w:hAnsi="Arial" w:cs="Arial"/>
          <w:color w:val="000000"/>
          <w:sz w:val="20"/>
          <w:szCs w:val="20"/>
        </w:rPr>
        <w:t xml:space="preserve"> Militia, being necessary to the security of a </w:t>
      </w:r>
      <w:proofErr w:type="gramStart"/>
      <w:r w:rsidRPr="003A7604">
        <w:rPr>
          <w:rFonts w:ascii="Arial" w:eastAsia="Times New Roman" w:hAnsi="Arial" w:cs="Arial"/>
          <w:color w:val="000000"/>
          <w:sz w:val="20"/>
          <w:szCs w:val="20"/>
        </w:rPr>
        <w:t>free</w:t>
      </w:r>
      <w:proofErr w:type="gramEnd"/>
      <w:r w:rsidRPr="003A7604">
        <w:rPr>
          <w:rFonts w:ascii="Arial" w:eastAsia="Times New Roman" w:hAnsi="Arial" w:cs="Arial"/>
          <w:color w:val="000000"/>
          <w:sz w:val="20"/>
          <w:szCs w:val="20"/>
        </w:rPr>
        <w:t xml:space="preserve"> State” merely announces a purpose. It does not limit or expand the scope of the operative clause “the right of the people to keep and bear Arms, shall not be infringed.” The operative clause’s text and history demonstrate that it connotes an individual right to keep and bear arms.</w:t>
      </w:r>
    </w:p>
    <w:p w:rsidR="003A7604" w:rsidRPr="003A7604" w:rsidRDefault="003A7604" w:rsidP="003A7604">
      <w:pPr>
        <w:shd w:val="clear" w:color="auto" w:fill="FFFFFF"/>
        <w:spacing w:after="225" w:line="270" w:lineRule="atLeast"/>
        <w:rPr>
          <w:rFonts w:ascii="Arial" w:eastAsia="Times New Roman" w:hAnsi="Arial" w:cs="Arial"/>
          <w:color w:val="000000"/>
          <w:sz w:val="20"/>
          <w:szCs w:val="20"/>
        </w:rPr>
      </w:pPr>
      <w:r w:rsidRPr="003A7604">
        <w:rPr>
          <w:rFonts w:ascii="Arial" w:eastAsia="Times New Roman" w:hAnsi="Arial" w:cs="Arial"/>
          <w:color w:val="000000"/>
          <w:sz w:val="20"/>
          <w:szCs w:val="20"/>
        </w:rPr>
        <w:t>The militia consisted of all males capable of acting together for the common defense. The Antifederalists feared that the Federal Government would disarm the people in order to disable citizen militias, thereby enabling a politicized standing army or a select militia to rule. The Antifederalists therefore sought to preserve the citizens’ militia by denying Congress the power to abridge the right of individuals to keep and bear arms.</w:t>
      </w:r>
    </w:p>
    <w:p w:rsidR="003A7604" w:rsidRPr="003A7604" w:rsidRDefault="003A7604" w:rsidP="003A7604">
      <w:pPr>
        <w:shd w:val="clear" w:color="auto" w:fill="FFFFFF"/>
        <w:spacing w:after="225" w:line="270" w:lineRule="atLeast"/>
        <w:rPr>
          <w:rFonts w:ascii="Arial" w:eastAsia="Times New Roman" w:hAnsi="Arial" w:cs="Arial"/>
          <w:color w:val="000000"/>
          <w:sz w:val="20"/>
          <w:szCs w:val="20"/>
        </w:rPr>
      </w:pPr>
      <w:r w:rsidRPr="003A7604">
        <w:rPr>
          <w:rFonts w:ascii="Arial" w:eastAsia="Times New Roman" w:hAnsi="Arial" w:cs="Arial"/>
          <w:color w:val="000000"/>
          <w:sz w:val="20"/>
          <w:szCs w:val="20"/>
        </w:rPr>
        <w:lastRenderedPageBreak/>
        <w:t>This interpretation is confirmed by analogous arms-bearing rights adopted in state constitutions immediately preceding and following the Second Amendment. Furthermore, the drafting history reveals three proposals that unequivocally referred to an individual right to bear arms. Interpretation of the Second Amendment by scholars, courts, and legislators from ratification through the late 19th century also supports the Court’s interpretation.</w:t>
      </w:r>
    </w:p>
    <w:p w:rsidR="003A7604" w:rsidRPr="003A7604" w:rsidRDefault="003A7604" w:rsidP="003A7604">
      <w:pPr>
        <w:shd w:val="clear" w:color="auto" w:fill="FFFFFF"/>
        <w:spacing w:after="225" w:line="270" w:lineRule="atLeast"/>
        <w:rPr>
          <w:rFonts w:ascii="Arial" w:eastAsia="Times New Roman" w:hAnsi="Arial" w:cs="Arial"/>
          <w:color w:val="000000"/>
          <w:sz w:val="20"/>
          <w:szCs w:val="20"/>
        </w:rPr>
      </w:pPr>
      <w:r w:rsidRPr="003A7604">
        <w:rPr>
          <w:rFonts w:ascii="Arial" w:eastAsia="Times New Roman" w:hAnsi="Arial" w:cs="Arial"/>
          <w:color w:val="000000"/>
          <w:sz w:val="20"/>
          <w:szCs w:val="20"/>
        </w:rPr>
        <w:t>No precedent forecloses this interpretation. United States v. Miller limits the type of weapons to which the right applies to those in common use for lawful purposes, but does not limit the right to keep and bear arms to militia purposes.</w:t>
      </w:r>
    </w:p>
    <w:p w:rsidR="003A7604" w:rsidRPr="003A7604" w:rsidRDefault="003A7604" w:rsidP="003A7604">
      <w:pPr>
        <w:shd w:val="clear" w:color="auto" w:fill="FFFFFF"/>
        <w:spacing w:after="225" w:line="270" w:lineRule="atLeast"/>
        <w:rPr>
          <w:rFonts w:ascii="Arial" w:eastAsia="Times New Roman" w:hAnsi="Arial" w:cs="Arial"/>
          <w:color w:val="000000"/>
          <w:sz w:val="20"/>
          <w:szCs w:val="20"/>
        </w:rPr>
      </w:pPr>
      <w:r w:rsidRPr="003A7604">
        <w:rPr>
          <w:rFonts w:ascii="Arial" w:eastAsia="Times New Roman" w:hAnsi="Arial" w:cs="Arial"/>
          <w:color w:val="000000"/>
          <w:sz w:val="20"/>
          <w:szCs w:val="20"/>
        </w:rPr>
        <w:t>The Second Amendment right is not a right to keep and carry any weapon in any manner and for any purpose. The Court has upheld gun control legislation including prohibitions on concealed weapons and possession of firearms by felons and the mentally ill, laws forbidding the carrying of firearms in sensitive places such as schools and government buildings, and laws imposing conditions and qualifications on the commercial sale of arms. The historical tradition of prohibiting the carrying of dangerous and unusual weapons supports the holding in United States v. Miller that the sorts of weapons protected are those in common use at the time.</w:t>
      </w:r>
    </w:p>
    <w:p w:rsidR="003A7604" w:rsidRPr="003A7604" w:rsidRDefault="003A7604" w:rsidP="003A7604">
      <w:pPr>
        <w:shd w:val="clear" w:color="auto" w:fill="FFFFFF"/>
        <w:spacing w:after="225" w:line="270" w:lineRule="atLeast"/>
        <w:rPr>
          <w:rFonts w:ascii="Arial" w:eastAsia="Times New Roman" w:hAnsi="Arial" w:cs="Arial"/>
          <w:color w:val="000000"/>
          <w:sz w:val="20"/>
          <w:szCs w:val="20"/>
        </w:rPr>
      </w:pPr>
      <w:r w:rsidRPr="003A7604">
        <w:rPr>
          <w:rFonts w:ascii="Arial" w:eastAsia="Times New Roman" w:hAnsi="Arial" w:cs="Arial"/>
          <w:color w:val="000000"/>
          <w:sz w:val="20"/>
          <w:szCs w:val="20"/>
        </w:rPr>
        <w:t>The handgun ban and the trigger-lock requirement (as applied to self-defense) violate the Second Amendment. The total ban on handgun possession in the home amounts to a prohibition on an entire class of arms that Americans overwhelmingly choose for the lawful purpose of self-defense. This prohibition would fail constitutional muster under any standard of scrutiny. Similarly, the requirement that any lawful firearm in the home be disassembled or bound by a trigger lock makes it impossible for citizens to use arms for the core lawful purpose of self-defense and is therefore unconstitutional.</w:t>
      </w:r>
    </w:p>
    <w:p w:rsidR="003A7604" w:rsidRPr="003A7604" w:rsidRDefault="003A7604" w:rsidP="003A7604">
      <w:pPr>
        <w:shd w:val="clear" w:color="auto" w:fill="FFFFFF"/>
        <w:spacing w:after="225" w:line="270" w:lineRule="atLeast"/>
        <w:rPr>
          <w:rFonts w:ascii="Arial" w:eastAsia="Times New Roman" w:hAnsi="Arial" w:cs="Arial"/>
          <w:color w:val="000000"/>
          <w:sz w:val="20"/>
          <w:szCs w:val="20"/>
        </w:rPr>
      </w:pPr>
      <w:r w:rsidRPr="003A7604">
        <w:rPr>
          <w:rFonts w:ascii="Arial" w:eastAsia="Times New Roman" w:hAnsi="Arial" w:cs="Arial"/>
          <w:color w:val="000000"/>
          <w:sz w:val="20"/>
          <w:szCs w:val="20"/>
        </w:rPr>
        <w:t>The Court assumes that a license will satisfy Heller’s prayer for relief and therefore does not address the constitutionality of the licensing requirement. Assuming Heller is not otherwise disqualified from exercising Second Amendment rights, the District of Columbia must permit him to register his handgun and must issue him a license to carry it in the home.</w:t>
      </w:r>
    </w:p>
    <w:p w:rsidR="003A7604" w:rsidRPr="003A7604" w:rsidRDefault="003A7604" w:rsidP="003A7604">
      <w:pPr>
        <w:shd w:val="clear" w:color="auto" w:fill="FFFFFF"/>
        <w:spacing w:before="75" w:after="105" w:line="240" w:lineRule="auto"/>
        <w:outlineLvl w:val="1"/>
        <w:rPr>
          <w:rFonts w:ascii="Arial" w:eastAsia="Times New Roman" w:hAnsi="Arial" w:cs="Arial"/>
          <w:b/>
          <w:bCs/>
          <w:color w:val="000000"/>
          <w:sz w:val="24"/>
          <w:szCs w:val="24"/>
        </w:rPr>
      </w:pPr>
      <w:r w:rsidRPr="003A7604">
        <w:rPr>
          <w:rFonts w:ascii="Arial" w:eastAsia="Times New Roman" w:hAnsi="Arial" w:cs="Arial"/>
          <w:b/>
          <w:bCs/>
          <w:color w:val="000000"/>
          <w:sz w:val="24"/>
          <w:szCs w:val="24"/>
        </w:rPr>
        <w:t>Disposition</w:t>
      </w:r>
    </w:p>
    <w:p w:rsidR="003A7604" w:rsidRPr="003A7604" w:rsidRDefault="003A7604" w:rsidP="003A7604">
      <w:pPr>
        <w:shd w:val="clear" w:color="auto" w:fill="FFFFFF"/>
        <w:spacing w:after="225" w:line="270" w:lineRule="atLeast"/>
        <w:rPr>
          <w:rFonts w:ascii="Arial" w:eastAsia="Times New Roman" w:hAnsi="Arial" w:cs="Arial"/>
          <w:color w:val="000000"/>
          <w:sz w:val="20"/>
          <w:szCs w:val="20"/>
        </w:rPr>
      </w:pPr>
      <w:r w:rsidRPr="003A7604">
        <w:rPr>
          <w:rFonts w:ascii="Arial" w:eastAsia="Times New Roman" w:hAnsi="Arial" w:cs="Arial"/>
          <w:color w:val="000000"/>
          <w:sz w:val="20"/>
          <w:szCs w:val="20"/>
        </w:rPr>
        <w:t>Affirmed.</w:t>
      </w:r>
    </w:p>
    <w:p w:rsidR="003A7604" w:rsidRPr="003A7604" w:rsidRDefault="003A7604" w:rsidP="003A7604">
      <w:pPr>
        <w:shd w:val="clear" w:color="auto" w:fill="FFFFFF"/>
        <w:spacing w:before="75" w:after="105" w:line="240" w:lineRule="auto"/>
        <w:outlineLvl w:val="1"/>
        <w:rPr>
          <w:rFonts w:ascii="Arial" w:eastAsia="Times New Roman" w:hAnsi="Arial" w:cs="Arial"/>
          <w:b/>
          <w:bCs/>
          <w:color w:val="000000"/>
          <w:sz w:val="24"/>
          <w:szCs w:val="24"/>
        </w:rPr>
      </w:pPr>
      <w:r w:rsidRPr="003A7604">
        <w:rPr>
          <w:rFonts w:ascii="Arial" w:eastAsia="Times New Roman" w:hAnsi="Arial" w:cs="Arial"/>
          <w:b/>
          <w:bCs/>
          <w:color w:val="000000"/>
          <w:sz w:val="24"/>
          <w:szCs w:val="24"/>
        </w:rPr>
        <w:t>Dissent (Stevens)</w:t>
      </w:r>
    </w:p>
    <w:p w:rsidR="003A7604" w:rsidRPr="003A7604" w:rsidRDefault="003A7604" w:rsidP="003A7604">
      <w:pPr>
        <w:shd w:val="clear" w:color="auto" w:fill="FFFFFF"/>
        <w:spacing w:after="225" w:line="270" w:lineRule="atLeast"/>
        <w:rPr>
          <w:rFonts w:ascii="Arial" w:eastAsia="Times New Roman" w:hAnsi="Arial" w:cs="Arial"/>
          <w:color w:val="000000"/>
          <w:sz w:val="20"/>
          <w:szCs w:val="20"/>
        </w:rPr>
      </w:pPr>
      <w:r w:rsidRPr="003A7604">
        <w:rPr>
          <w:rFonts w:ascii="Arial" w:eastAsia="Times New Roman" w:hAnsi="Arial" w:cs="Arial"/>
          <w:color w:val="000000"/>
          <w:sz w:val="20"/>
          <w:szCs w:val="20"/>
        </w:rPr>
        <w:t xml:space="preserve">The Second Amendment was adopted to protect the right of the people to maintain a </w:t>
      </w:r>
      <w:proofErr w:type="spellStart"/>
      <w:r w:rsidRPr="003A7604">
        <w:rPr>
          <w:rFonts w:ascii="Arial" w:eastAsia="Times New Roman" w:hAnsi="Arial" w:cs="Arial"/>
          <w:color w:val="000000"/>
          <w:sz w:val="20"/>
          <w:szCs w:val="20"/>
        </w:rPr>
        <w:t>well regulated</w:t>
      </w:r>
      <w:proofErr w:type="spellEnd"/>
      <w:r w:rsidRPr="003A7604">
        <w:rPr>
          <w:rFonts w:ascii="Arial" w:eastAsia="Times New Roman" w:hAnsi="Arial" w:cs="Arial"/>
          <w:color w:val="000000"/>
          <w:sz w:val="20"/>
          <w:szCs w:val="20"/>
        </w:rPr>
        <w:t xml:space="preserve"> militia. It was a response to the concern that the power of Congress to disarm the state militias and create a national standing army posed an intolerable threat to state sovereignty. Neither the text of the Second Amendment nor the arguments advanced by its proponents evidence the slightest interest by the Framers in limiting any legislature’s authority to regulate private civilian uses of firearms.</w:t>
      </w:r>
    </w:p>
    <w:p w:rsidR="003A7604" w:rsidRPr="003A7604" w:rsidRDefault="003A7604" w:rsidP="003A7604">
      <w:pPr>
        <w:shd w:val="clear" w:color="auto" w:fill="FFFFFF"/>
        <w:spacing w:after="225" w:line="270" w:lineRule="atLeast"/>
        <w:rPr>
          <w:rFonts w:ascii="Arial" w:eastAsia="Times New Roman" w:hAnsi="Arial" w:cs="Arial"/>
          <w:color w:val="000000"/>
          <w:sz w:val="20"/>
          <w:szCs w:val="20"/>
        </w:rPr>
      </w:pPr>
      <w:r w:rsidRPr="003A7604">
        <w:rPr>
          <w:rFonts w:ascii="Arial" w:eastAsia="Times New Roman" w:hAnsi="Arial" w:cs="Arial"/>
          <w:color w:val="000000"/>
          <w:sz w:val="20"/>
          <w:szCs w:val="20"/>
        </w:rPr>
        <w:t>There is no indication that the Framers intended to enshrine the common law right of self-defense in the Constitution. The view in Miller that the Second Amendment protects the right to keep and bear arms for certain military purposes, but does not curtail the Legislature’s power to regulate the nonmilitary use and ownership of weapons, is both the most natural reading of the Amendment’s text and the interpretation most faithful to the history of its adoption. The majority fails to identify any new evidence supporting the view that the Amendment was intended to limit the power of Congress to regulate civilian uses of weapons.</w:t>
      </w:r>
    </w:p>
    <w:p w:rsidR="003A7604" w:rsidRPr="003A7604" w:rsidRDefault="003A7604" w:rsidP="003A7604">
      <w:pPr>
        <w:shd w:val="clear" w:color="auto" w:fill="FFFFFF"/>
        <w:spacing w:before="75" w:after="105" w:line="240" w:lineRule="auto"/>
        <w:outlineLvl w:val="1"/>
        <w:rPr>
          <w:rFonts w:ascii="Arial" w:eastAsia="Times New Roman" w:hAnsi="Arial" w:cs="Arial"/>
          <w:b/>
          <w:bCs/>
          <w:color w:val="000000"/>
          <w:sz w:val="24"/>
          <w:szCs w:val="24"/>
        </w:rPr>
      </w:pPr>
      <w:r w:rsidRPr="003A7604">
        <w:rPr>
          <w:rFonts w:ascii="Arial" w:eastAsia="Times New Roman" w:hAnsi="Arial" w:cs="Arial"/>
          <w:b/>
          <w:bCs/>
          <w:color w:val="000000"/>
          <w:sz w:val="24"/>
          <w:szCs w:val="24"/>
        </w:rPr>
        <w:lastRenderedPageBreak/>
        <w:t>Dissent (Breyer)</w:t>
      </w:r>
    </w:p>
    <w:p w:rsidR="003A7604" w:rsidRPr="003A7604" w:rsidRDefault="003A7604" w:rsidP="003A7604">
      <w:pPr>
        <w:shd w:val="clear" w:color="auto" w:fill="FFFFFF"/>
        <w:spacing w:after="225" w:line="270" w:lineRule="atLeast"/>
        <w:rPr>
          <w:rFonts w:ascii="Arial" w:eastAsia="Times New Roman" w:hAnsi="Arial" w:cs="Arial"/>
          <w:color w:val="000000"/>
          <w:sz w:val="20"/>
          <w:szCs w:val="20"/>
        </w:rPr>
      </w:pPr>
      <w:r w:rsidRPr="003A7604">
        <w:rPr>
          <w:rFonts w:ascii="Arial" w:eastAsia="Times New Roman" w:hAnsi="Arial" w:cs="Arial"/>
          <w:color w:val="000000"/>
          <w:sz w:val="20"/>
          <w:szCs w:val="20"/>
        </w:rPr>
        <w:t>The Second Amendment protects militia-related interests, not self-defense-related interests. Furthermore, the Amendment permits government to regulate the interests that it serves. Colonial history itself offers important examples of the kinds of gun regulation that citizens would then have thought compatible with the right to keep and bear arms, including substantial regulation of firearms in urban areas, and regulations that imposed limitations on the use of firearms for the protection of the home.</w:t>
      </w:r>
    </w:p>
    <w:p w:rsidR="003A7604" w:rsidRPr="003A7604" w:rsidRDefault="003A7604" w:rsidP="003A7604">
      <w:pPr>
        <w:shd w:val="clear" w:color="auto" w:fill="FFFFFF"/>
        <w:spacing w:after="225" w:line="270" w:lineRule="atLeast"/>
        <w:rPr>
          <w:rFonts w:ascii="Arial" w:eastAsia="Times New Roman" w:hAnsi="Arial" w:cs="Arial"/>
          <w:color w:val="000000"/>
          <w:sz w:val="20"/>
          <w:szCs w:val="20"/>
        </w:rPr>
      </w:pPr>
      <w:r w:rsidRPr="003A7604">
        <w:rPr>
          <w:rFonts w:ascii="Arial" w:eastAsia="Times New Roman" w:hAnsi="Arial" w:cs="Arial"/>
          <w:color w:val="000000"/>
          <w:sz w:val="20"/>
          <w:szCs w:val="20"/>
        </w:rPr>
        <w:t>Adoption of a true strict scrutiny standard for evaluating gun control regulations would be impossible and I would adopt an interest-balancing inquiry. In applying this kind of standard the Court normally defers to a legislature’s empirical judgment in matters where a legislature is likely to have greater expertise and greater institutional fact finding capacity.</w:t>
      </w:r>
    </w:p>
    <w:p w:rsidR="003A7604" w:rsidRPr="003A7604" w:rsidRDefault="003A7604" w:rsidP="003A7604">
      <w:pPr>
        <w:shd w:val="clear" w:color="auto" w:fill="FFFFFF"/>
        <w:spacing w:after="0" w:line="270" w:lineRule="atLeast"/>
        <w:rPr>
          <w:rFonts w:ascii="Arial" w:eastAsia="Times New Roman" w:hAnsi="Arial" w:cs="Arial"/>
          <w:color w:val="000000"/>
          <w:sz w:val="20"/>
          <w:szCs w:val="20"/>
        </w:rPr>
      </w:pPr>
      <w:r w:rsidRPr="003A7604">
        <w:rPr>
          <w:rFonts w:ascii="Arial" w:eastAsia="Times New Roman" w:hAnsi="Arial" w:cs="Arial"/>
          <w:color w:val="000000"/>
          <w:sz w:val="20"/>
          <w:szCs w:val="20"/>
        </w:rPr>
        <w:t>This case is also cited as DC v. Heller. See </w:t>
      </w:r>
      <w:hyperlink r:id="rId5" w:tooltip="United States v. Lopez Summary" w:history="1">
        <w:r w:rsidRPr="003A7604">
          <w:rPr>
            <w:rFonts w:ascii="Arial" w:eastAsia="Times New Roman" w:hAnsi="Arial" w:cs="Arial"/>
            <w:b/>
            <w:bCs/>
            <w:i/>
            <w:iCs/>
            <w:color w:val="004477"/>
            <w:sz w:val="20"/>
            <w:szCs w:val="20"/>
            <w:u w:val="single"/>
          </w:rPr>
          <w:t>United States v. Lopez</w:t>
        </w:r>
      </w:hyperlink>
      <w:r w:rsidRPr="003A7604">
        <w:rPr>
          <w:rFonts w:ascii="Arial" w:eastAsia="Times New Roman" w:hAnsi="Arial" w:cs="Arial"/>
          <w:color w:val="000000"/>
          <w:sz w:val="20"/>
          <w:szCs w:val="20"/>
        </w:rPr>
        <w:t> for a constitutional law case brief addressing the constitutionality of gun control legislation enacted by Congress in exercise of its power under the </w:t>
      </w:r>
      <w:hyperlink r:id="rId6" w:tooltip="Commerce Clause" w:history="1">
        <w:r w:rsidRPr="003A7604">
          <w:rPr>
            <w:rFonts w:ascii="Arial" w:eastAsia="Times New Roman" w:hAnsi="Arial" w:cs="Arial"/>
            <w:b/>
            <w:bCs/>
            <w:color w:val="004477"/>
            <w:sz w:val="20"/>
            <w:szCs w:val="20"/>
            <w:u w:val="single"/>
          </w:rPr>
          <w:t>Commerce Clause</w:t>
        </w:r>
      </w:hyperlink>
      <w:r w:rsidRPr="003A7604">
        <w:rPr>
          <w:rFonts w:ascii="Arial" w:eastAsia="Times New Roman" w:hAnsi="Arial" w:cs="Arial"/>
          <w:color w:val="000000"/>
          <w:sz w:val="20"/>
          <w:szCs w:val="20"/>
        </w:rPr>
        <w:t>.</w:t>
      </w:r>
    </w:p>
    <w:p w:rsidR="006056B7" w:rsidRDefault="006056B7" w:rsidP="006056B7">
      <w:pPr>
        <w:spacing w:after="0"/>
        <w:rPr>
          <w:rFonts w:ascii="Times New Roman" w:hAnsi="Times New Roman" w:cs="Times New Roman"/>
        </w:rPr>
      </w:pPr>
    </w:p>
    <w:p w:rsidR="003A7604" w:rsidRDefault="003A7604" w:rsidP="006056B7">
      <w:pPr>
        <w:spacing w:after="0"/>
        <w:rPr>
          <w:rFonts w:ascii="Times New Roman" w:hAnsi="Times New Roman" w:cs="Times New Roman"/>
        </w:rPr>
      </w:pPr>
    </w:p>
    <w:p w:rsidR="003A7604" w:rsidRDefault="003A7604" w:rsidP="006056B7">
      <w:pPr>
        <w:spacing w:after="0"/>
        <w:rPr>
          <w:rFonts w:ascii="Times New Roman" w:hAnsi="Times New Roman" w:cs="Times New Roman"/>
        </w:rPr>
      </w:pPr>
    </w:p>
    <w:p w:rsidR="003A7604" w:rsidRDefault="003A7604" w:rsidP="006056B7">
      <w:pPr>
        <w:spacing w:after="0"/>
        <w:rPr>
          <w:rFonts w:ascii="Times New Roman" w:hAnsi="Times New Roman" w:cs="Times New Roman"/>
        </w:rPr>
      </w:pPr>
    </w:p>
    <w:p w:rsidR="003A7604" w:rsidRDefault="003A7604" w:rsidP="006056B7">
      <w:pPr>
        <w:spacing w:after="0"/>
        <w:rPr>
          <w:rFonts w:ascii="Times New Roman" w:hAnsi="Times New Roman" w:cs="Times New Roman"/>
        </w:rPr>
      </w:pPr>
    </w:p>
    <w:p w:rsidR="003A7604" w:rsidRDefault="003A7604" w:rsidP="006056B7">
      <w:pPr>
        <w:spacing w:after="0"/>
        <w:rPr>
          <w:rFonts w:ascii="Times New Roman" w:hAnsi="Times New Roman" w:cs="Times New Roman"/>
        </w:rPr>
      </w:pPr>
    </w:p>
    <w:p w:rsidR="003A7604" w:rsidRDefault="003A7604" w:rsidP="006056B7">
      <w:pPr>
        <w:spacing w:after="0"/>
        <w:rPr>
          <w:rFonts w:ascii="Times New Roman" w:hAnsi="Times New Roman" w:cs="Times New Roman"/>
        </w:rPr>
      </w:pPr>
    </w:p>
    <w:p w:rsidR="003A7604" w:rsidRDefault="003A7604" w:rsidP="006056B7">
      <w:pPr>
        <w:spacing w:after="0"/>
        <w:rPr>
          <w:rFonts w:ascii="Times New Roman" w:hAnsi="Times New Roman" w:cs="Times New Roman"/>
        </w:rPr>
      </w:pPr>
    </w:p>
    <w:p w:rsidR="003A7604" w:rsidRDefault="003A7604" w:rsidP="006056B7">
      <w:pPr>
        <w:spacing w:after="0"/>
        <w:rPr>
          <w:rFonts w:ascii="Times New Roman" w:hAnsi="Times New Roman" w:cs="Times New Roman"/>
        </w:rPr>
      </w:pPr>
    </w:p>
    <w:p w:rsidR="009B18E9" w:rsidRDefault="009B18E9" w:rsidP="006056B7">
      <w:pPr>
        <w:spacing w:after="0"/>
        <w:rPr>
          <w:rFonts w:ascii="Times New Roman" w:hAnsi="Times New Roman" w:cs="Times New Roman"/>
        </w:rPr>
      </w:pPr>
    </w:p>
    <w:p w:rsidR="009B18E9" w:rsidRDefault="009B18E9" w:rsidP="006056B7">
      <w:pPr>
        <w:spacing w:after="0"/>
        <w:rPr>
          <w:rFonts w:ascii="Times New Roman" w:hAnsi="Times New Roman" w:cs="Times New Roman"/>
        </w:rPr>
      </w:pPr>
    </w:p>
    <w:p w:rsidR="003A7604" w:rsidRDefault="003A7604" w:rsidP="006056B7">
      <w:pPr>
        <w:spacing w:after="0"/>
        <w:rPr>
          <w:rFonts w:ascii="Times New Roman" w:hAnsi="Times New Roman" w:cs="Times New Roman"/>
        </w:rPr>
      </w:pPr>
    </w:p>
    <w:p w:rsidR="003A7604" w:rsidRDefault="003A7604" w:rsidP="006056B7">
      <w:pPr>
        <w:spacing w:after="0"/>
        <w:rPr>
          <w:rFonts w:ascii="Times New Roman" w:hAnsi="Times New Roman" w:cs="Times New Roman"/>
        </w:rPr>
      </w:pPr>
    </w:p>
    <w:p w:rsidR="003A7604" w:rsidRDefault="003A7604" w:rsidP="006056B7">
      <w:pPr>
        <w:spacing w:after="0"/>
        <w:rPr>
          <w:rFonts w:ascii="Times New Roman" w:hAnsi="Times New Roman" w:cs="Times New Roman"/>
        </w:rPr>
      </w:pPr>
    </w:p>
    <w:p w:rsidR="003A7604" w:rsidRDefault="003A7604" w:rsidP="006056B7">
      <w:pPr>
        <w:spacing w:after="0"/>
        <w:rPr>
          <w:rFonts w:ascii="Times New Roman" w:hAnsi="Times New Roman" w:cs="Times New Roman"/>
        </w:rPr>
      </w:pPr>
    </w:p>
    <w:p w:rsidR="003A7604" w:rsidRDefault="003A7604" w:rsidP="006056B7">
      <w:pPr>
        <w:spacing w:after="0"/>
        <w:rPr>
          <w:rFonts w:ascii="Times New Roman" w:hAnsi="Times New Roman" w:cs="Times New Roman"/>
        </w:rPr>
      </w:pPr>
    </w:p>
    <w:p w:rsidR="003A7604" w:rsidRDefault="003A7604" w:rsidP="006056B7">
      <w:pPr>
        <w:spacing w:after="0"/>
        <w:rPr>
          <w:rFonts w:ascii="Times New Roman" w:hAnsi="Times New Roman" w:cs="Times New Roman"/>
        </w:rPr>
      </w:pPr>
    </w:p>
    <w:p w:rsidR="003A7604" w:rsidRDefault="003A7604" w:rsidP="006056B7">
      <w:pPr>
        <w:spacing w:after="0"/>
        <w:rPr>
          <w:rFonts w:ascii="Times New Roman" w:hAnsi="Times New Roman" w:cs="Times New Roman"/>
        </w:rPr>
      </w:pPr>
    </w:p>
    <w:p w:rsidR="003A7604" w:rsidRDefault="003A7604" w:rsidP="006056B7">
      <w:pPr>
        <w:spacing w:after="0"/>
        <w:rPr>
          <w:rFonts w:ascii="Times New Roman" w:hAnsi="Times New Roman" w:cs="Times New Roman"/>
        </w:rPr>
      </w:pPr>
    </w:p>
    <w:p w:rsidR="003A7604" w:rsidRDefault="003A7604" w:rsidP="006056B7">
      <w:pPr>
        <w:spacing w:after="0"/>
        <w:rPr>
          <w:rFonts w:ascii="Times New Roman" w:hAnsi="Times New Roman" w:cs="Times New Roman"/>
        </w:rPr>
      </w:pPr>
    </w:p>
    <w:p w:rsidR="003A7604" w:rsidRDefault="003A7604" w:rsidP="006056B7">
      <w:pPr>
        <w:spacing w:after="0"/>
        <w:rPr>
          <w:rFonts w:ascii="Times New Roman" w:hAnsi="Times New Roman" w:cs="Times New Roman"/>
        </w:rPr>
      </w:pPr>
    </w:p>
    <w:p w:rsidR="003A7604" w:rsidRDefault="003A7604" w:rsidP="006056B7">
      <w:pPr>
        <w:spacing w:after="0"/>
        <w:rPr>
          <w:rFonts w:ascii="Times New Roman" w:hAnsi="Times New Roman" w:cs="Times New Roman"/>
        </w:rPr>
      </w:pPr>
    </w:p>
    <w:p w:rsidR="003A7604" w:rsidRDefault="003A7604" w:rsidP="006056B7">
      <w:pPr>
        <w:spacing w:after="0"/>
        <w:rPr>
          <w:rFonts w:ascii="Times New Roman" w:hAnsi="Times New Roman" w:cs="Times New Roman"/>
        </w:rPr>
      </w:pPr>
    </w:p>
    <w:p w:rsidR="003A7604" w:rsidRDefault="003A7604" w:rsidP="006056B7">
      <w:pPr>
        <w:spacing w:after="0"/>
        <w:rPr>
          <w:rFonts w:ascii="Times New Roman" w:hAnsi="Times New Roman" w:cs="Times New Roman"/>
        </w:rPr>
      </w:pPr>
    </w:p>
    <w:p w:rsidR="003A7604" w:rsidRDefault="003A7604" w:rsidP="006056B7">
      <w:pPr>
        <w:spacing w:after="0"/>
        <w:rPr>
          <w:rFonts w:ascii="Times New Roman" w:hAnsi="Times New Roman" w:cs="Times New Roman"/>
        </w:rPr>
      </w:pPr>
    </w:p>
    <w:p w:rsidR="003A7604" w:rsidRDefault="003A7604" w:rsidP="006056B7">
      <w:pPr>
        <w:spacing w:after="0"/>
        <w:rPr>
          <w:rFonts w:ascii="Times New Roman" w:hAnsi="Times New Roman" w:cs="Times New Roman"/>
        </w:rPr>
      </w:pPr>
    </w:p>
    <w:p w:rsidR="003A7604" w:rsidRDefault="003A7604" w:rsidP="006056B7">
      <w:pPr>
        <w:spacing w:after="0"/>
        <w:rPr>
          <w:rFonts w:ascii="Times New Roman" w:hAnsi="Times New Roman" w:cs="Times New Roman"/>
        </w:rPr>
      </w:pPr>
    </w:p>
    <w:p w:rsidR="003A7604" w:rsidRDefault="003A7604" w:rsidP="006056B7">
      <w:pPr>
        <w:spacing w:after="0"/>
        <w:rPr>
          <w:rFonts w:ascii="Times New Roman" w:hAnsi="Times New Roman" w:cs="Times New Roman"/>
        </w:rPr>
      </w:pPr>
    </w:p>
    <w:p w:rsidR="003A7604" w:rsidRDefault="003A7604" w:rsidP="006056B7">
      <w:pPr>
        <w:spacing w:after="0"/>
        <w:rPr>
          <w:rFonts w:ascii="Times New Roman" w:hAnsi="Times New Roman" w:cs="Times New Roman"/>
        </w:rPr>
      </w:pPr>
    </w:p>
    <w:p w:rsidR="003A7604" w:rsidRDefault="003A7604" w:rsidP="006056B7">
      <w:pPr>
        <w:spacing w:after="0"/>
        <w:rPr>
          <w:rFonts w:ascii="Times New Roman" w:hAnsi="Times New Roman" w:cs="Times New Roman"/>
        </w:rPr>
      </w:pPr>
    </w:p>
    <w:p w:rsidR="003A7604" w:rsidRPr="003A7604" w:rsidRDefault="003A7604" w:rsidP="003A7604">
      <w:pPr>
        <w:spacing w:before="100" w:beforeAutospacing="1" w:after="100" w:afterAutospacing="1" w:line="540" w:lineRule="atLeast"/>
        <w:outlineLvl w:val="1"/>
        <w:rPr>
          <w:rFonts w:ascii="Times New Roman" w:eastAsia="Times New Roman" w:hAnsi="Times New Roman" w:cs="Times New Roman"/>
          <w:i/>
          <w:color w:val="222222"/>
          <w:sz w:val="42"/>
          <w:szCs w:val="42"/>
        </w:rPr>
      </w:pPr>
      <w:r w:rsidRPr="003A7604">
        <w:rPr>
          <w:rFonts w:ascii="Times New Roman" w:eastAsia="Times New Roman" w:hAnsi="Times New Roman" w:cs="Times New Roman"/>
          <w:i/>
          <w:color w:val="222222"/>
          <w:sz w:val="42"/>
          <w:szCs w:val="42"/>
        </w:rPr>
        <w:lastRenderedPageBreak/>
        <w:t>McDonald v. Chicago</w:t>
      </w:r>
    </w:p>
    <w:p w:rsidR="003A7604" w:rsidRPr="003A7604" w:rsidRDefault="003A7604" w:rsidP="003A7604">
      <w:pPr>
        <w:spacing w:before="100" w:beforeAutospacing="1" w:after="100" w:afterAutospacing="1" w:line="540" w:lineRule="atLeast"/>
        <w:outlineLvl w:val="1"/>
        <w:rPr>
          <w:rFonts w:ascii="Times New Roman" w:eastAsia="Times New Roman" w:hAnsi="Times New Roman" w:cs="Times New Roman"/>
          <w:color w:val="222222"/>
          <w:sz w:val="42"/>
          <w:szCs w:val="42"/>
        </w:rPr>
      </w:pPr>
      <w:r w:rsidRPr="003A7604">
        <w:rPr>
          <w:rFonts w:ascii="Times New Roman" w:eastAsia="Times New Roman" w:hAnsi="Times New Roman" w:cs="Times New Roman"/>
          <w:color w:val="222222"/>
          <w:sz w:val="42"/>
          <w:szCs w:val="42"/>
        </w:rPr>
        <w:t>Facts of the case</w:t>
      </w:r>
    </w:p>
    <w:p w:rsidR="003A7604" w:rsidRPr="003A7604" w:rsidRDefault="003A7604" w:rsidP="003A7604">
      <w:pPr>
        <w:spacing w:before="100" w:beforeAutospacing="1" w:after="100" w:afterAutospacing="1" w:line="360" w:lineRule="atLeast"/>
        <w:rPr>
          <w:rFonts w:ascii="inherit" w:eastAsia="Times New Roman" w:hAnsi="inherit" w:cs="Times New Roman"/>
          <w:sz w:val="24"/>
          <w:szCs w:val="24"/>
        </w:rPr>
      </w:pPr>
      <w:r w:rsidRPr="003A7604">
        <w:rPr>
          <w:rFonts w:ascii="inherit" w:eastAsia="Times New Roman" w:hAnsi="inherit" w:cs="Times New Roman"/>
          <w:sz w:val="24"/>
          <w:szCs w:val="24"/>
        </w:rPr>
        <w:t>Several suits were filed against Chicago and Oak Park in Illinois challenging their gun bans after the Supreme Court issued its opinion in </w:t>
      </w:r>
      <w:r w:rsidRPr="003A7604">
        <w:rPr>
          <w:rFonts w:ascii="inherit" w:eastAsia="Times New Roman" w:hAnsi="inherit" w:cs="Times New Roman"/>
          <w:i/>
          <w:iCs/>
          <w:sz w:val="24"/>
          <w:szCs w:val="24"/>
        </w:rPr>
        <w:t>District of Columbia v. Heller</w:t>
      </w:r>
      <w:r w:rsidRPr="003A7604">
        <w:rPr>
          <w:rFonts w:ascii="inherit" w:eastAsia="Times New Roman" w:hAnsi="inherit" w:cs="Times New Roman"/>
          <w:sz w:val="24"/>
          <w:szCs w:val="24"/>
        </w:rPr>
        <w:t>. In that case, the Supreme Court held that a District of Columbia handgun ban violated the Second Amendment. There, the Court reasoned that the law in question was enacted under the authority of the federal government and, thus, the Second Amendment was applicable. Here, plaintiffs argued that the Second Amendment should also apply to the states. The district court dismissed the suits. On appeal, the U.S. Court of Appeals for the Seventh Circuit affirmed.</w:t>
      </w:r>
    </w:p>
    <w:p w:rsidR="003A7604" w:rsidRPr="003A7604" w:rsidRDefault="003A7604" w:rsidP="003A7604">
      <w:pPr>
        <w:spacing w:before="100" w:beforeAutospacing="1" w:after="100" w:afterAutospacing="1" w:line="540" w:lineRule="atLeast"/>
        <w:outlineLvl w:val="1"/>
        <w:rPr>
          <w:rFonts w:ascii="Times New Roman" w:eastAsia="Times New Roman" w:hAnsi="Times New Roman" w:cs="Times New Roman"/>
          <w:color w:val="222222"/>
          <w:sz w:val="42"/>
          <w:szCs w:val="42"/>
        </w:rPr>
      </w:pPr>
      <w:r w:rsidRPr="003A7604">
        <w:rPr>
          <w:rFonts w:ascii="Times New Roman" w:eastAsia="Times New Roman" w:hAnsi="Times New Roman" w:cs="Times New Roman"/>
          <w:color w:val="222222"/>
          <w:sz w:val="42"/>
          <w:szCs w:val="42"/>
        </w:rPr>
        <w:t>Question</w:t>
      </w:r>
    </w:p>
    <w:p w:rsidR="003A7604" w:rsidRPr="003A7604" w:rsidRDefault="003A7604" w:rsidP="003A7604">
      <w:pPr>
        <w:spacing w:before="100" w:beforeAutospacing="1" w:after="100" w:afterAutospacing="1" w:line="360" w:lineRule="atLeast"/>
        <w:rPr>
          <w:rFonts w:ascii="inherit" w:eastAsia="Times New Roman" w:hAnsi="inherit" w:cs="Times New Roman"/>
          <w:sz w:val="24"/>
          <w:szCs w:val="24"/>
        </w:rPr>
      </w:pPr>
      <w:r w:rsidRPr="003A7604">
        <w:rPr>
          <w:rFonts w:ascii="inherit" w:eastAsia="Times New Roman" w:hAnsi="inherit" w:cs="Times New Roman"/>
          <w:sz w:val="24"/>
          <w:szCs w:val="24"/>
        </w:rPr>
        <w:t>Does the Second Amendment apply to the states because it is incorporated by the Fourteenth Amendment's Privileges and Immunities or Due Process clauses and thereby made applicable to the states?</w:t>
      </w:r>
    </w:p>
    <w:p w:rsidR="003A7604" w:rsidRPr="003A7604" w:rsidRDefault="003A7604" w:rsidP="003A7604">
      <w:pPr>
        <w:spacing w:before="100" w:beforeAutospacing="1" w:after="100" w:afterAutospacing="1" w:line="540" w:lineRule="atLeast"/>
        <w:outlineLvl w:val="1"/>
        <w:rPr>
          <w:rFonts w:ascii="Times New Roman" w:eastAsia="Times New Roman" w:hAnsi="Times New Roman" w:cs="Times New Roman"/>
          <w:color w:val="222222"/>
          <w:sz w:val="42"/>
          <w:szCs w:val="42"/>
        </w:rPr>
      </w:pPr>
      <w:r w:rsidRPr="003A7604">
        <w:rPr>
          <w:rFonts w:ascii="Times New Roman" w:eastAsia="Times New Roman" w:hAnsi="Times New Roman" w:cs="Times New Roman"/>
          <w:color w:val="222222"/>
          <w:sz w:val="42"/>
          <w:szCs w:val="42"/>
        </w:rPr>
        <w:t>Conclusion</w:t>
      </w:r>
    </w:p>
    <w:p w:rsidR="003A7604" w:rsidRPr="003A7604" w:rsidRDefault="003A7604" w:rsidP="003A7604">
      <w:pPr>
        <w:spacing w:before="100" w:beforeAutospacing="1" w:after="100" w:afterAutospacing="1" w:line="360" w:lineRule="atLeast"/>
        <w:rPr>
          <w:rFonts w:ascii="inherit" w:eastAsia="Times New Roman" w:hAnsi="inherit" w:cs="Times New Roman"/>
          <w:sz w:val="24"/>
          <w:szCs w:val="24"/>
        </w:rPr>
      </w:pPr>
      <w:r w:rsidRPr="003A7604">
        <w:rPr>
          <w:rFonts w:ascii="inherit" w:eastAsia="Times New Roman" w:hAnsi="inherit" w:cs="Times New Roman"/>
          <w:sz w:val="24"/>
          <w:szCs w:val="24"/>
        </w:rPr>
        <w:t>The Supreme Court reversed the Seventh Circuit, holding that the Fourteenth Amendment makes the Second Amendment right to keep and bear arms for the purpose of self-defense applicable to the states. With Justice Samuel A. Alito writing for the majority, the Court reasoned that rights that are "fundamental to the Nation's scheme of ordered liberty" or that are "deeply rooted in this Nation's history and tradition" are appropriately applied to the states through the Fourteenth Amendment. The Court recognized in </w:t>
      </w:r>
      <w:r w:rsidRPr="003A7604">
        <w:rPr>
          <w:rFonts w:ascii="inherit" w:eastAsia="Times New Roman" w:hAnsi="inherit" w:cs="Times New Roman"/>
          <w:i/>
          <w:iCs/>
          <w:sz w:val="24"/>
          <w:szCs w:val="24"/>
        </w:rPr>
        <w:t>Heller</w:t>
      </w:r>
      <w:r w:rsidRPr="003A7604">
        <w:rPr>
          <w:rFonts w:ascii="inherit" w:eastAsia="Times New Roman" w:hAnsi="inherit" w:cs="Times New Roman"/>
          <w:sz w:val="24"/>
          <w:szCs w:val="24"/>
        </w:rPr>
        <w:t> that the right to self-defense was one such "fundamental" and "deeply rooted" right. The Court reasoned that because of its holding in </w:t>
      </w:r>
      <w:r w:rsidRPr="003A7604">
        <w:rPr>
          <w:rFonts w:ascii="inherit" w:eastAsia="Times New Roman" w:hAnsi="inherit" w:cs="Times New Roman"/>
          <w:i/>
          <w:iCs/>
          <w:sz w:val="24"/>
          <w:szCs w:val="24"/>
        </w:rPr>
        <w:t>Heller</w:t>
      </w:r>
      <w:r w:rsidRPr="003A7604">
        <w:rPr>
          <w:rFonts w:ascii="inherit" w:eastAsia="Times New Roman" w:hAnsi="inherit" w:cs="Times New Roman"/>
          <w:sz w:val="24"/>
          <w:szCs w:val="24"/>
        </w:rPr>
        <w:t>, the Second Amendment applied to the states. Here, the Court remanded the case to the Seventh Circuit to determine whether Chicago's handgun ban violated an individual's right to keep and bear arms for self-defense.</w:t>
      </w:r>
    </w:p>
    <w:p w:rsidR="003A7604" w:rsidRPr="003A7604" w:rsidRDefault="003A7604" w:rsidP="003A7604">
      <w:pPr>
        <w:spacing w:before="100" w:beforeAutospacing="1" w:after="100" w:afterAutospacing="1" w:line="360" w:lineRule="atLeast"/>
        <w:rPr>
          <w:rFonts w:ascii="inherit" w:eastAsia="Times New Roman" w:hAnsi="inherit" w:cs="Times New Roman"/>
          <w:sz w:val="24"/>
          <w:szCs w:val="24"/>
        </w:rPr>
      </w:pPr>
      <w:r w:rsidRPr="003A7604">
        <w:rPr>
          <w:rFonts w:ascii="inherit" w:eastAsia="Times New Roman" w:hAnsi="inherit" w:cs="Times New Roman"/>
          <w:sz w:val="24"/>
          <w:szCs w:val="24"/>
        </w:rPr>
        <w:t>Justice Alito, writing in the plurality, specified that the Due Process Clause of the Fourteenth Amendment incorporates the Second Amendment right recognized in </w:t>
      </w:r>
      <w:r w:rsidRPr="003A7604">
        <w:rPr>
          <w:rFonts w:ascii="inherit" w:eastAsia="Times New Roman" w:hAnsi="inherit" w:cs="Times New Roman"/>
          <w:i/>
          <w:iCs/>
          <w:sz w:val="24"/>
          <w:szCs w:val="24"/>
        </w:rPr>
        <w:t>Heller</w:t>
      </w:r>
      <w:r w:rsidRPr="003A7604">
        <w:rPr>
          <w:rFonts w:ascii="inherit" w:eastAsia="Times New Roman" w:hAnsi="inherit" w:cs="Times New Roman"/>
          <w:sz w:val="24"/>
          <w:szCs w:val="24"/>
        </w:rPr>
        <w:t xml:space="preserve">. He rejected Justice Clarence Thomas's separate claim that the Privileges or Immunities Clause of the Fourteenth Amendment more appropriately incorporates the Second Amendment against the states. Alito </w:t>
      </w:r>
      <w:r w:rsidRPr="003A7604">
        <w:rPr>
          <w:rFonts w:ascii="inherit" w:eastAsia="Times New Roman" w:hAnsi="inherit" w:cs="Times New Roman"/>
          <w:sz w:val="24"/>
          <w:szCs w:val="24"/>
        </w:rPr>
        <w:lastRenderedPageBreak/>
        <w:t>stated that the Court's decision in the </w:t>
      </w:r>
      <w:r w:rsidRPr="003A7604">
        <w:rPr>
          <w:rFonts w:ascii="inherit" w:eastAsia="Times New Roman" w:hAnsi="inherit" w:cs="Times New Roman"/>
          <w:i/>
          <w:iCs/>
          <w:sz w:val="24"/>
          <w:szCs w:val="24"/>
        </w:rPr>
        <w:t>Slaughterhouse Cases</w:t>
      </w:r>
      <w:r w:rsidRPr="003A7604">
        <w:rPr>
          <w:rFonts w:ascii="inherit" w:eastAsia="Times New Roman" w:hAnsi="inherit" w:cs="Times New Roman"/>
          <w:sz w:val="24"/>
          <w:szCs w:val="24"/>
        </w:rPr>
        <w:t> -- rejecting the use of the Privileges or Immunities Clause for the purpose of incorporation -- was long since decided and the appropriate avenue for incorporating rights was through the Due Process Clause.</w:t>
      </w:r>
    </w:p>
    <w:p w:rsidR="003A7604" w:rsidRPr="003A7604" w:rsidRDefault="003A7604" w:rsidP="003A7604">
      <w:pPr>
        <w:spacing w:before="100" w:beforeAutospacing="1" w:after="100" w:afterAutospacing="1" w:line="360" w:lineRule="atLeast"/>
        <w:rPr>
          <w:rFonts w:ascii="inherit" w:eastAsia="Times New Roman" w:hAnsi="inherit" w:cs="Times New Roman"/>
          <w:sz w:val="24"/>
          <w:szCs w:val="24"/>
        </w:rPr>
      </w:pPr>
      <w:r w:rsidRPr="003A7604">
        <w:rPr>
          <w:rFonts w:ascii="inherit" w:eastAsia="Times New Roman" w:hAnsi="inherit" w:cs="Times New Roman"/>
          <w:sz w:val="24"/>
          <w:szCs w:val="24"/>
        </w:rPr>
        <w:t>Justice Antonin Scalia concurred. He agreed with the Court's opinion, but wrote separately to disagree with Justice John Paul Stevens' dissent. Justice Clarence Thomas concurred and concurred in the judgment. He agreed that the Fourteenth Amendment incorporates the Second Amendment against the states, but disagreed that the Due Process Clause was the appropriate mechanism. Instead, Justice Thomas advocated that the Privileges or Immunities Clause was the more appropriate avenue for rights incorporation. Justice John Paul Stevens dissented. He disagreed that the Fourteenth Amendment incorporates the Second Amendment against the states. He argued that owning a personal firearm was not a "liberty" interest protected by the Due Process Clause. Justice Stephen G. Breyer, joined by Justices Ruth Bader Ginsburg and Sonia Sotomayor, also dissented. He argued that there is nothing in the Second Amendment's "text, history, or underlying rationale" that characterizes it as a "fundamental right" warranting incorporation through the Fourteenth Amendment.</w:t>
      </w:r>
    </w:p>
    <w:p w:rsidR="003A7604" w:rsidRDefault="003A7604" w:rsidP="006056B7">
      <w:pPr>
        <w:spacing w:after="0"/>
        <w:rPr>
          <w:rFonts w:ascii="Times New Roman" w:hAnsi="Times New Roman" w:cs="Times New Roman"/>
        </w:rPr>
      </w:pPr>
    </w:p>
    <w:p w:rsidR="00E6559E" w:rsidRDefault="00E6559E" w:rsidP="006056B7">
      <w:pPr>
        <w:spacing w:after="0"/>
        <w:rPr>
          <w:rFonts w:ascii="Times New Roman" w:hAnsi="Times New Roman" w:cs="Times New Roman"/>
        </w:rPr>
      </w:pPr>
    </w:p>
    <w:p w:rsidR="00E6559E" w:rsidRDefault="00E6559E" w:rsidP="006056B7">
      <w:pPr>
        <w:spacing w:after="0"/>
        <w:rPr>
          <w:rFonts w:ascii="Times New Roman" w:hAnsi="Times New Roman" w:cs="Times New Roman"/>
        </w:rPr>
      </w:pPr>
    </w:p>
    <w:p w:rsidR="00E6559E" w:rsidRDefault="00E6559E" w:rsidP="006056B7">
      <w:pPr>
        <w:spacing w:after="0"/>
        <w:rPr>
          <w:rFonts w:ascii="Times New Roman" w:hAnsi="Times New Roman" w:cs="Times New Roman"/>
        </w:rPr>
      </w:pPr>
    </w:p>
    <w:p w:rsidR="00E6559E" w:rsidRDefault="00E6559E" w:rsidP="006056B7">
      <w:pPr>
        <w:spacing w:after="0"/>
        <w:rPr>
          <w:rFonts w:ascii="Times New Roman" w:hAnsi="Times New Roman" w:cs="Times New Roman"/>
        </w:rPr>
      </w:pPr>
    </w:p>
    <w:p w:rsidR="00E6559E" w:rsidRDefault="00E6559E" w:rsidP="006056B7">
      <w:pPr>
        <w:spacing w:after="0"/>
        <w:rPr>
          <w:rFonts w:ascii="Times New Roman" w:hAnsi="Times New Roman" w:cs="Times New Roman"/>
        </w:rPr>
      </w:pPr>
    </w:p>
    <w:p w:rsidR="00E6559E" w:rsidRDefault="00E6559E" w:rsidP="006056B7">
      <w:pPr>
        <w:spacing w:after="0"/>
        <w:rPr>
          <w:rFonts w:ascii="Times New Roman" w:hAnsi="Times New Roman" w:cs="Times New Roman"/>
        </w:rPr>
      </w:pPr>
    </w:p>
    <w:p w:rsidR="00E6559E" w:rsidRDefault="00E6559E" w:rsidP="006056B7">
      <w:pPr>
        <w:spacing w:after="0"/>
        <w:rPr>
          <w:rFonts w:ascii="Times New Roman" w:hAnsi="Times New Roman" w:cs="Times New Roman"/>
        </w:rPr>
      </w:pPr>
    </w:p>
    <w:p w:rsidR="00E6559E" w:rsidRDefault="00E6559E" w:rsidP="006056B7">
      <w:pPr>
        <w:spacing w:after="0"/>
        <w:rPr>
          <w:rFonts w:ascii="Times New Roman" w:hAnsi="Times New Roman" w:cs="Times New Roman"/>
        </w:rPr>
      </w:pPr>
    </w:p>
    <w:p w:rsidR="00E6559E" w:rsidRDefault="00E6559E" w:rsidP="006056B7">
      <w:pPr>
        <w:spacing w:after="0"/>
        <w:rPr>
          <w:rFonts w:ascii="Times New Roman" w:hAnsi="Times New Roman" w:cs="Times New Roman"/>
        </w:rPr>
      </w:pPr>
    </w:p>
    <w:p w:rsidR="00E6559E" w:rsidRDefault="00E6559E" w:rsidP="006056B7">
      <w:pPr>
        <w:spacing w:after="0"/>
        <w:rPr>
          <w:rFonts w:ascii="Times New Roman" w:hAnsi="Times New Roman" w:cs="Times New Roman"/>
        </w:rPr>
      </w:pPr>
    </w:p>
    <w:p w:rsidR="00E6559E" w:rsidRDefault="00E6559E" w:rsidP="006056B7">
      <w:pPr>
        <w:spacing w:after="0"/>
        <w:rPr>
          <w:rFonts w:ascii="Times New Roman" w:hAnsi="Times New Roman" w:cs="Times New Roman"/>
        </w:rPr>
      </w:pPr>
    </w:p>
    <w:p w:rsidR="00E6559E" w:rsidRDefault="00E6559E" w:rsidP="006056B7">
      <w:pPr>
        <w:spacing w:after="0"/>
        <w:rPr>
          <w:rFonts w:ascii="Times New Roman" w:hAnsi="Times New Roman" w:cs="Times New Roman"/>
        </w:rPr>
      </w:pPr>
    </w:p>
    <w:p w:rsidR="00E6559E" w:rsidRDefault="00E6559E" w:rsidP="006056B7">
      <w:pPr>
        <w:spacing w:after="0"/>
        <w:rPr>
          <w:rFonts w:ascii="Times New Roman" w:hAnsi="Times New Roman" w:cs="Times New Roman"/>
        </w:rPr>
      </w:pPr>
    </w:p>
    <w:p w:rsidR="00E6559E" w:rsidRDefault="00E6559E" w:rsidP="006056B7">
      <w:pPr>
        <w:spacing w:after="0"/>
        <w:rPr>
          <w:rFonts w:ascii="Times New Roman" w:hAnsi="Times New Roman" w:cs="Times New Roman"/>
        </w:rPr>
      </w:pPr>
    </w:p>
    <w:p w:rsidR="00E6559E" w:rsidRDefault="00E6559E" w:rsidP="006056B7">
      <w:pPr>
        <w:spacing w:after="0"/>
        <w:rPr>
          <w:rFonts w:ascii="Times New Roman" w:hAnsi="Times New Roman" w:cs="Times New Roman"/>
        </w:rPr>
      </w:pPr>
    </w:p>
    <w:p w:rsidR="00E6559E" w:rsidRDefault="00E6559E" w:rsidP="006056B7">
      <w:pPr>
        <w:spacing w:after="0"/>
        <w:rPr>
          <w:rFonts w:ascii="Times New Roman" w:hAnsi="Times New Roman" w:cs="Times New Roman"/>
        </w:rPr>
      </w:pPr>
    </w:p>
    <w:p w:rsidR="00E6559E" w:rsidRDefault="00E6559E" w:rsidP="006056B7">
      <w:pPr>
        <w:spacing w:after="0"/>
        <w:rPr>
          <w:rFonts w:ascii="Times New Roman" w:hAnsi="Times New Roman" w:cs="Times New Roman"/>
        </w:rPr>
      </w:pPr>
    </w:p>
    <w:p w:rsidR="00E6559E" w:rsidRDefault="00E6559E" w:rsidP="006056B7">
      <w:pPr>
        <w:spacing w:after="0"/>
        <w:rPr>
          <w:rFonts w:ascii="Times New Roman" w:hAnsi="Times New Roman" w:cs="Times New Roman"/>
        </w:rPr>
      </w:pPr>
    </w:p>
    <w:p w:rsidR="00E6559E" w:rsidRDefault="00E6559E" w:rsidP="006056B7">
      <w:pPr>
        <w:spacing w:after="0"/>
        <w:rPr>
          <w:rFonts w:ascii="Times New Roman" w:hAnsi="Times New Roman" w:cs="Times New Roman"/>
        </w:rPr>
      </w:pPr>
    </w:p>
    <w:p w:rsidR="00E6559E" w:rsidRDefault="00E6559E" w:rsidP="006056B7">
      <w:pPr>
        <w:spacing w:after="0"/>
        <w:rPr>
          <w:rFonts w:ascii="Times New Roman" w:hAnsi="Times New Roman" w:cs="Times New Roman"/>
        </w:rPr>
      </w:pPr>
    </w:p>
    <w:p w:rsidR="00E6559E" w:rsidRDefault="00E6559E" w:rsidP="006056B7">
      <w:pPr>
        <w:spacing w:after="0"/>
        <w:rPr>
          <w:rFonts w:ascii="Times New Roman" w:hAnsi="Times New Roman" w:cs="Times New Roman"/>
        </w:rPr>
      </w:pPr>
    </w:p>
    <w:p w:rsidR="00E6559E" w:rsidRDefault="00E6559E" w:rsidP="006056B7">
      <w:pPr>
        <w:spacing w:after="0"/>
        <w:rPr>
          <w:rFonts w:ascii="Times New Roman" w:hAnsi="Times New Roman" w:cs="Times New Roman"/>
        </w:rPr>
      </w:pPr>
    </w:p>
    <w:p w:rsidR="00E6559E" w:rsidRDefault="00E6559E" w:rsidP="006056B7">
      <w:pPr>
        <w:spacing w:after="0"/>
        <w:rPr>
          <w:rFonts w:ascii="Times New Roman" w:hAnsi="Times New Roman" w:cs="Times New Roman"/>
        </w:rPr>
      </w:pPr>
    </w:p>
    <w:p w:rsidR="00E6559E" w:rsidRDefault="00E6559E" w:rsidP="006056B7">
      <w:pPr>
        <w:spacing w:after="0"/>
        <w:rPr>
          <w:rFonts w:ascii="Times New Roman" w:hAnsi="Times New Roman" w:cs="Times New Roman"/>
        </w:rPr>
      </w:pPr>
    </w:p>
    <w:p w:rsidR="00E6559E" w:rsidRPr="00E6559E" w:rsidRDefault="00E6559E" w:rsidP="00E6559E">
      <w:pPr>
        <w:spacing w:after="0" w:line="240" w:lineRule="auto"/>
        <w:jc w:val="center"/>
        <w:rPr>
          <w:rFonts w:ascii="Times New Roman" w:eastAsia="Times New Roman" w:hAnsi="Times New Roman" w:cs="Times New Roman"/>
          <w:color w:val="000000"/>
        </w:rPr>
      </w:pPr>
      <w:r w:rsidRPr="00E6559E">
        <w:rPr>
          <w:rFonts w:ascii="Times New Roman" w:eastAsia="Times New Roman" w:hAnsi="Times New Roman" w:cs="Times New Roman"/>
          <w:b/>
          <w:bCs/>
          <w:color w:val="000000"/>
        </w:rPr>
        <w:lastRenderedPageBreak/>
        <w:t>“ONLY LAW ENFORCEMENT WILL BE ALLOWED TO HAVE GUNS”:</w:t>
      </w:r>
    </w:p>
    <w:p w:rsidR="00E6559E" w:rsidRPr="00E6559E" w:rsidRDefault="00E6559E" w:rsidP="00E6559E">
      <w:pPr>
        <w:spacing w:after="0" w:line="240" w:lineRule="auto"/>
        <w:jc w:val="center"/>
        <w:rPr>
          <w:rFonts w:ascii="Times New Roman" w:eastAsia="Times New Roman" w:hAnsi="Times New Roman" w:cs="Times New Roman"/>
          <w:color w:val="000000"/>
        </w:rPr>
      </w:pPr>
      <w:r w:rsidRPr="00E6559E">
        <w:rPr>
          <w:rFonts w:ascii="Times New Roman" w:eastAsia="Times New Roman" w:hAnsi="Times New Roman" w:cs="Times New Roman"/>
          <w:b/>
          <w:bCs/>
          <w:color w:val="000000"/>
        </w:rPr>
        <w:t>HURRICANE KATRINA AND THE NEW ORLEANS FIREARM CONFISCATIONS</w:t>
      </w:r>
    </w:p>
    <w:p w:rsidR="00E6559E" w:rsidRPr="00E6559E" w:rsidRDefault="00E6559E" w:rsidP="00E6559E">
      <w:pPr>
        <w:spacing w:after="0" w:line="240" w:lineRule="auto"/>
        <w:rPr>
          <w:rFonts w:ascii="Times New Roman" w:eastAsia="Times New Roman" w:hAnsi="Times New Roman" w:cs="Times New Roman"/>
          <w:color w:val="000000"/>
        </w:rPr>
      </w:pPr>
      <w:r w:rsidRPr="00E6559E">
        <w:rPr>
          <w:rFonts w:ascii="Times New Roman" w:eastAsia="Times New Roman" w:hAnsi="Times New Roman" w:cs="Times New Roman"/>
          <w:b/>
          <w:bCs/>
          <w:color w:val="000000"/>
        </w:rPr>
        <w:t>                                                                                                                                               </w:t>
      </w:r>
      <w:r w:rsidRPr="00E6559E">
        <w:rPr>
          <w:rFonts w:ascii="Times New Roman" w:eastAsia="Times New Roman" w:hAnsi="Times New Roman" w:cs="Times New Roman"/>
          <w:color w:val="000000"/>
        </w:rPr>
        <w:t>Stephen P. Halbrook</w:t>
      </w:r>
      <w:bookmarkStart w:id="0" w:name="_ftnref1"/>
      <w:r w:rsidRPr="00E6559E">
        <w:rPr>
          <w:rFonts w:ascii="Times New Roman" w:eastAsia="Times New Roman" w:hAnsi="Times New Roman" w:cs="Times New Roman"/>
          <w:color w:val="000000"/>
        </w:rPr>
        <w:fldChar w:fldCharType="begin"/>
      </w:r>
      <w:r w:rsidRPr="00E6559E">
        <w:rPr>
          <w:rFonts w:ascii="Times New Roman" w:eastAsia="Times New Roman" w:hAnsi="Times New Roman" w:cs="Times New Roman"/>
          <w:color w:val="000000"/>
        </w:rPr>
        <w:instrText xml:space="preserve"> HYPERLINK "http://intellectual-thoughts.com/Hurrican%20Katrina%20Gun%20Confiscatio.htm" \l "_ftn1" \o "" </w:instrText>
      </w:r>
      <w:r w:rsidRPr="00E6559E">
        <w:rPr>
          <w:rFonts w:ascii="Times New Roman" w:eastAsia="Times New Roman" w:hAnsi="Times New Roman" w:cs="Times New Roman"/>
          <w:color w:val="000000"/>
        </w:rPr>
        <w:fldChar w:fldCharType="separate"/>
      </w:r>
      <w:r w:rsidRPr="00E6559E">
        <w:rPr>
          <w:rFonts w:ascii="Times New Roman" w:eastAsia="Times New Roman" w:hAnsi="Times New Roman" w:cs="Times New Roman"/>
          <w:color w:val="0000FF"/>
          <w:u w:val="single"/>
          <w:vertAlign w:val="superscript"/>
        </w:rPr>
        <w:t>1</w:t>
      </w:r>
      <w:r w:rsidRPr="00E6559E">
        <w:rPr>
          <w:rFonts w:ascii="Times New Roman" w:eastAsia="Times New Roman" w:hAnsi="Times New Roman" w:cs="Times New Roman"/>
          <w:color w:val="000000"/>
        </w:rPr>
        <w:fldChar w:fldCharType="end"/>
      </w:r>
      <w:bookmarkEnd w:id="0"/>
    </w:p>
    <w:p w:rsidR="00E6559E" w:rsidRPr="00E6559E" w:rsidRDefault="00E6559E" w:rsidP="00E6559E">
      <w:pPr>
        <w:spacing w:after="0" w:line="240" w:lineRule="auto"/>
        <w:rPr>
          <w:rFonts w:ascii="Times New Roman" w:eastAsia="Times New Roman" w:hAnsi="Times New Roman" w:cs="Times New Roman"/>
          <w:color w:val="000000"/>
        </w:rPr>
      </w:pPr>
      <w:r w:rsidRPr="00E6559E">
        <w:rPr>
          <w:rFonts w:ascii="Times New Roman" w:eastAsia="Times New Roman" w:hAnsi="Times New Roman" w:cs="Times New Roman"/>
          <w:color w:val="000000"/>
        </w:rPr>
        <w:t> </w:t>
      </w:r>
    </w:p>
    <w:p w:rsidR="00E6559E" w:rsidRPr="00E6559E" w:rsidRDefault="00E6559E" w:rsidP="00E6559E">
      <w:pPr>
        <w:spacing w:after="0" w:line="480" w:lineRule="atLeast"/>
        <w:jc w:val="both"/>
        <w:rPr>
          <w:rFonts w:ascii="Times New Roman" w:eastAsia="Times New Roman" w:hAnsi="Times New Roman" w:cs="Times New Roman"/>
          <w:color w:val="000000"/>
        </w:rPr>
      </w:pPr>
      <w:r w:rsidRPr="00E6559E">
        <w:rPr>
          <w:rFonts w:ascii="Times New Roman" w:eastAsia="Times New Roman" w:hAnsi="Times New Roman" w:cs="Times New Roman"/>
          <w:color w:val="000000"/>
        </w:rPr>
        <w:t>            In the wake of Hurricane Katrina, New Orleans authorities announced that only police would be allowed to possess firearms and proceeded to seize lawfully-possessed firearms from citizens at gunpoint.  Suit was filed alleging that the confiscations violated the right to keep and bear arms under the Federal and Louisiana constitutions, deprived citizens of liberty and property without due process, violated equal protection, and constituted unlawful searches and seizures.  The U.S. district court enjoined the mayor and police superintendent from making further seizures and ordered return of the confiscated firearms.</w:t>
      </w:r>
      <w:bookmarkStart w:id="1" w:name="_ftnref2"/>
      <w:r w:rsidRPr="00E6559E">
        <w:rPr>
          <w:rFonts w:ascii="Times New Roman" w:eastAsia="Times New Roman" w:hAnsi="Times New Roman" w:cs="Times New Roman"/>
          <w:color w:val="000000"/>
        </w:rPr>
        <w:fldChar w:fldCharType="begin"/>
      </w:r>
      <w:r w:rsidRPr="00E6559E">
        <w:rPr>
          <w:rFonts w:ascii="Times New Roman" w:eastAsia="Times New Roman" w:hAnsi="Times New Roman" w:cs="Times New Roman"/>
          <w:color w:val="000000"/>
        </w:rPr>
        <w:instrText xml:space="preserve"> HYPERLINK "http://intellectual-thoughts.com/Hurrican%20Katrina%20Gun%20Confiscatio.htm" \l "_ftn2" \o "" </w:instrText>
      </w:r>
      <w:r w:rsidRPr="00E6559E">
        <w:rPr>
          <w:rFonts w:ascii="Times New Roman" w:eastAsia="Times New Roman" w:hAnsi="Times New Roman" w:cs="Times New Roman"/>
          <w:color w:val="000000"/>
        </w:rPr>
        <w:fldChar w:fldCharType="separate"/>
      </w:r>
      <w:r w:rsidRPr="00E6559E">
        <w:rPr>
          <w:rFonts w:ascii="Times New Roman" w:eastAsia="Times New Roman" w:hAnsi="Times New Roman" w:cs="Times New Roman"/>
          <w:color w:val="0000FF"/>
          <w:u w:val="single"/>
          <w:vertAlign w:val="superscript"/>
        </w:rPr>
        <w:t>2</w:t>
      </w:r>
      <w:r w:rsidRPr="00E6559E">
        <w:rPr>
          <w:rFonts w:ascii="Times New Roman" w:eastAsia="Times New Roman" w:hAnsi="Times New Roman" w:cs="Times New Roman"/>
          <w:color w:val="000000"/>
        </w:rPr>
        <w:fldChar w:fldCharType="end"/>
      </w:r>
      <w:bookmarkEnd w:id="1"/>
      <w:r w:rsidRPr="00E6559E">
        <w:rPr>
          <w:rFonts w:ascii="Times New Roman" w:eastAsia="Times New Roman" w:hAnsi="Times New Roman" w:cs="Times New Roman"/>
          <w:color w:val="000000"/>
        </w:rPr>
        <w:t>  This Article describes the claims and proceedings in the case.</w:t>
      </w:r>
    </w:p>
    <w:p w:rsidR="00E6559E" w:rsidRPr="00E6559E" w:rsidRDefault="00E6559E" w:rsidP="00E6559E">
      <w:pPr>
        <w:spacing w:after="0" w:line="480" w:lineRule="atLeast"/>
        <w:jc w:val="both"/>
        <w:rPr>
          <w:rFonts w:ascii="Times New Roman" w:eastAsia="Times New Roman" w:hAnsi="Times New Roman" w:cs="Times New Roman"/>
          <w:color w:val="000000"/>
        </w:rPr>
      </w:pPr>
      <w:r w:rsidRPr="00E6559E">
        <w:rPr>
          <w:rFonts w:ascii="Times New Roman" w:eastAsia="Times New Roman" w:hAnsi="Times New Roman" w:cs="Times New Roman"/>
          <w:color w:val="000000"/>
        </w:rPr>
        <w:t xml:space="preserve">            Images of flooding, death, looting, and devastation flashed across television screens after Katrina hit.  Two news clips are of particular interest here.  One featured Police Superintendent Eddie Compass announcing on September 8, 2005: “No one will be able to be armed. Guns will be taken.  Only law enforcement will be allowed to have guns.”  The other was the footage of Patricia </w:t>
      </w:r>
      <w:proofErr w:type="spellStart"/>
      <w:r w:rsidRPr="00E6559E">
        <w:rPr>
          <w:rFonts w:ascii="Times New Roman" w:eastAsia="Times New Roman" w:hAnsi="Times New Roman" w:cs="Times New Roman"/>
          <w:color w:val="000000"/>
        </w:rPr>
        <w:t>Konie</w:t>
      </w:r>
      <w:proofErr w:type="spellEnd"/>
      <w:r w:rsidRPr="00E6559E">
        <w:rPr>
          <w:rFonts w:ascii="Times New Roman" w:eastAsia="Times New Roman" w:hAnsi="Times New Roman" w:cs="Times New Roman"/>
          <w:color w:val="000000"/>
        </w:rPr>
        <w:t>, a 58-year old petite woman at her home with an old revolver for protection. Several burley policemen slammed her to the ground, fracturing her shoulder, and took her into custody.</w:t>
      </w:r>
      <w:bookmarkStart w:id="2" w:name="_ftnref3"/>
      <w:r w:rsidRPr="00E6559E">
        <w:rPr>
          <w:rFonts w:ascii="Times New Roman" w:eastAsia="Times New Roman" w:hAnsi="Times New Roman" w:cs="Times New Roman"/>
          <w:color w:val="000000"/>
        </w:rPr>
        <w:fldChar w:fldCharType="begin"/>
      </w:r>
      <w:r w:rsidRPr="00E6559E">
        <w:rPr>
          <w:rFonts w:ascii="Times New Roman" w:eastAsia="Times New Roman" w:hAnsi="Times New Roman" w:cs="Times New Roman"/>
          <w:color w:val="000000"/>
        </w:rPr>
        <w:instrText xml:space="preserve"> HYPERLINK "http://intellectual-thoughts.com/Hurrican%20Katrina%20Gun%20Confiscatio.htm" \l "_ftn3" \o "" </w:instrText>
      </w:r>
      <w:r w:rsidRPr="00E6559E">
        <w:rPr>
          <w:rFonts w:ascii="Times New Roman" w:eastAsia="Times New Roman" w:hAnsi="Times New Roman" w:cs="Times New Roman"/>
          <w:color w:val="000000"/>
        </w:rPr>
        <w:fldChar w:fldCharType="separate"/>
      </w:r>
      <w:r w:rsidRPr="00E6559E">
        <w:rPr>
          <w:rFonts w:ascii="Times New Roman" w:eastAsia="Times New Roman" w:hAnsi="Times New Roman" w:cs="Times New Roman"/>
          <w:color w:val="0000FF"/>
          <w:u w:val="single"/>
          <w:vertAlign w:val="superscript"/>
        </w:rPr>
        <w:t>3</w:t>
      </w:r>
      <w:r w:rsidRPr="00E6559E">
        <w:rPr>
          <w:rFonts w:ascii="Times New Roman" w:eastAsia="Times New Roman" w:hAnsi="Times New Roman" w:cs="Times New Roman"/>
          <w:color w:val="000000"/>
        </w:rPr>
        <w:fldChar w:fldCharType="end"/>
      </w:r>
      <w:bookmarkEnd w:id="2"/>
    </w:p>
    <w:p w:rsidR="00E6559E" w:rsidRPr="00E6559E" w:rsidRDefault="00E6559E" w:rsidP="00E6559E">
      <w:pPr>
        <w:spacing w:after="0" w:line="480" w:lineRule="atLeast"/>
        <w:jc w:val="both"/>
        <w:rPr>
          <w:rFonts w:ascii="Times New Roman" w:eastAsia="Times New Roman" w:hAnsi="Times New Roman" w:cs="Times New Roman"/>
          <w:color w:val="000000"/>
        </w:rPr>
      </w:pPr>
      <w:r w:rsidRPr="00E6559E">
        <w:rPr>
          <w:rFonts w:ascii="Times New Roman" w:eastAsia="Times New Roman" w:hAnsi="Times New Roman" w:cs="Times New Roman"/>
          <w:b/>
          <w:bCs/>
          <w:color w:val="000000"/>
        </w:rPr>
        <w:t>The Complaint and Consent Order Enjoining Confiscations</w:t>
      </w:r>
    </w:p>
    <w:p w:rsidR="00E6559E" w:rsidRPr="00E6559E" w:rsidRDefault="00E6559E" w:rsidP="00E6559E">
      <w:pPr>
        <w:spacing w:after="0" w:line="480" w:lineRule="atLeast"/>
        <w:jc w:val="both"/>
        <w:rPr>
          <w:rFonts w:ascii="Times New Roman" w:eastAsia="Times New Roman" w:hAnsi="Times New Roman" w:cs="Times New Roman"/>
          <w:color w:val="000000"/>
        </w:rPr>
      </w:pPr>
      <w:r w:rsidRPr="00E6559E">
        <w:rPr>
          <w:rFonts w:ascii="Times New Roman" w:eastAsia="Times New Roman" w:hAnsi="Times New Roman" w:cs="Times New Roman"/>
          <w:color w:val="000000"/>
        </w:rPr>
        <w:t>            The National Rifle Association, Second Amendment Foundation, and an individual plaintiff filed a complaint and a motion for preliminary injunction against the gun seizures in the U.S. district court, which due to the flooding had moved to Baton Rouge.  The complaint alleged that, in the devastation and breakdown of law and order that followed Katrina, law-abiding citizens were left on their own without police protection to protect their families, persons, and property from looters, rapists, and criminals of various types.  Police officers who stayed on the job to do their duty were overwhelmed.  Defendants responded to this crisis in part by ordering that the law-abiding citizens be disarmed, leaving them at the mercy of roving gangs, home invaders, and other criminals.</w:t>
      </w:r>
      <w:bookmarkStart w:id="3" w:name="_ftnref4"/>
      <w:r w:rsidRPr="00E6559E">
        <w:rPr>
          <w:rFonts w:ascii="Times New Roman" w:eastAsia="Times New Roman" w:hAnsi="Times New Roman" w:cs="Times New Roman"/>
          <w:color w:val="000000"/>
        </w:rPr>
        <w:fldChar w:fldCharType="begin"/>
      </w:r>
      <w:r w:rsidRPr="00E6559E">
        <w:rPr>
          <w:rFonts w:ascii="Times New Roman" w:eastAsia="Times New Roman" w:hAnsi="Times New Roman" w:cs="Times New Roman"/>
          <w:color w:val="000000"/>
        </w:rPr>
        <w:instrText xml:space="preserve"> HYPERLINK "http://intellectual-thoughts.com/Hurrican%20Katrina%20Gun%20Confiscatio.htm" \l "_ftn4" \o "" </w:instrText>
      </w:r>
      <w:r w:rsidRPr="00E6559E">
        <w:rPr>
          <w:rFonts w:ascii="Times New Roman" w:eastAsia="Times New Roman" w:hAnsi="Times New Roman" w:cs="Times New Roman"/>
          <w:color w:val="000000"/>
        </w:rPr>
        <w:fldChar w:fldCharType="separate"/>
      </w:r>
      <w:r w:rsidRPr="00E6559E">
        <w:rPr>
          <w:rFonts w:ascii="Times New Roman" w:eastAsia="Times New Roman" w:hAnsi="Times New Roman" w:cs="Times New Roman"/>
          <w:color w:val="0000FF"/>
          <w:u w:val="single"/>
          <w:vertAlign w:val="superscript"/>
        </w:rPr>
        <w:t>4</w:t>
      </w:r>
      <w:r w:rsidRPr="00E6559E">
        <w:rPr>
          <w:rFonts w:ascii="Times New Roman" w:eastAsia="Times New Roman" w:hAnsi="Times New Roman" w:cs="Times New Roman"/>
          <w:color w:val="000000"/>
        </w:rPr>
        <w:fldChar w:fldCharType="end"/>
      </w:r>
      <w:bookmarkEnd w:id="3"/>
    </w:p>
    <w:p w:rsidR="00E6559E" w:rsidRPr="00E6559E" w:rsidRDefault="00E6559E" w:rsidP="00E6559E">
      <w:pPr>
        <w:spacing w:after="0" w:line="480" w:lineRule="atLeast"/>
        <w:jc w:val="both"/>
        <w:rPr>
          <w:rFonts w:ascii="Times New Roman" w:eastAsia="Times New Roman" w:hAnsi="Times New Roman" w:cs="Times New Roman"/>
          <w:color w:val="000000"/>
        </w:rPr>
      </w:pPr>
      <w:r w:rsidRPr="00E6559E">
        <w:rPr>
          <w:rFonts w:ascii="Times New Roman" w:eastAsia="Times New Roman" w:hAnsi="Times New Roman" w:cs="Times New Roman"/>
          <w:color w:val="000000"/>
        </w:rPr>
        <w:t xml:space="preserve">            During the same period, Mayor Nagin ordered the New Orleans Police and other law enforcement entities under his authority to evict persons from their homes and to confiscate their firearms.  Police went </w:t>
      </w:r>
      <w:r w:rsidRPr="00E6559E">
        <w:rPr>
          <w:rFonts w:ascii="Times New Roman" w:eastAsia="Times New Roman" w:hAnsi="Times New Roman" w:cs="Times New Roman"/>
          <w:color w:val="000000"/>
        </w:rPr>
        <w:lastRenderedPageBreak/>
        <w:t>from house to house and confiscated numerous firearms from citizens at gunpoint.  While decreeing that ordinary citizens may not possess firearms, Defendants followed a policy of allowing certain businesses and wealthy persons to hire armed security guards.</w:t>
      </w:r>
      <w:bookmarkStart w:id="4" w:name="_ftnref5"/>
      <w:r w:rsidRPr="00E6559E">
        <w:rPr>
          <w:rFonts w:ascii="Times New Roman" w:eastAsia="Times New Roman" w:hAnsi="Times New Roman" w:cs="Times New Roman"/>
          <w:color w:val="000000"/>
        </w:rPr>
        <w:fldChar w:fldCharType="begin"/>
      </w:r>
      <w:r w:rsidRPr="00E6559E">
        <w:rPr>
          <w:rFonts w:ascii="Times New Roman" w:eastAsia="Times New Roman" w:hAnsi="Times New Roman" w:cs="Times New Roman"/>
          <w:color w:val="000000"/>
        </w:rPr>
        <w:instrText xml:space="preserve"> HYPERLINK "http://intellectual-thoughts.com/Hurrican%20Katrina%20Gun%20Confiscatio.htm" \l "_ftn5" \o "" </w:instrText>
      </w:r>
      <w:r w:rsidRPr="00E6559E">
        <w:rPr>
          <w:rFonts w:ascii="Times New Roman" w:eastAsia="Times New Roman" w:hAnsi="Times New Roman" w:cs="Times New Roman"/>
          <w:color w:val="000000"/>
        </w:rPr>
        <w:fldChar w:fldCharType="separate"/>
      </w:r>
      <w:r w:rsidRPr="00E6559E">
        <w:rPr>
          <w:rFonts w:ascii="Times New Roman" w:eastAsia="Times New Roman" w:hAnsi="Times New Roman" w:cs="Times New Roman"/>
          <w:color w:val="0000FF"/>
          <w:u w:val="single"/>
          <w:vertAlign w:val="superscript"/>
        </w:rPr>
        <w:t>5</w:t>
      </w:r>
      <w:r w:rsidRPr="00E6559E">
        <w:rPr>
          <w:rFonts w:ascii="Times New Roman" w:eastAsia="Times New Roman" w:hAnsi="Times New Roman" w:cs="Times New Roman"/>
          <w:color w:val="000000"/>
        </w:rPr>
        <w:fldChar w:fldCharType="end"/>
      </w:r>
      <w:bookmarkEnd w:id="4"/>
    </w:p>
    <w:p w:rsidR="00E6559E" w:rsidRPr="00E6559E" w:rsidRDefault="00E6559E" w:rsidP="00E6559E">
      <w:pPr>
        <w:spacing w:after="0" w:line="480" w:lineRule="atLeast"/>
        <w:jc w:val="both"/>
        <w:rPr>
          <w:rFonts w:ascii="Times New Roman" w:eastAsia="Times New Roman" w:hAnsi="Times New Roman" w:cs="Times New Roman"/>
          <w:color w:val="000000"/>
        </w:rPr>
      </w:pPr>
      <w:r w:rsidRPr="00E6559E">
        <w:rPr>
          <w:rFonts w:ascii="Times New Roman" w:eastAsia="Times New Roman" w:hAnsi="Times New Roman" w:cs="Times New Roman"/>
          <w:color w:val="000000"/>
        </w:rPr>
        <w:t xml:space="preserve">            On September 23, 2005, Judge Jay C. </w:t>
      </w:r>
      <w:proofErr w:type="spellStart"/>
      <w:r w:rsidRPr="00E6559E">
        <w:rPr>
          <w:rFonts w:ascii="Times New Roman" w:eastAsia="Times New Roman" w:hAnsi="Times New Roman" w:cs="Times New Roman"/>
          <w:color w:val="000000"/>
        </w:rPr>
        <w:t>Zainey</w:t>
      </w:r>
      <w:proofErr w:type="spellEnd"/>
      <w:r w:rsidRPr="00E6559E">
        <w:rPr>
          <w:rFonts w:ascii="Times New Roman" w:eastAsia="Times New Roman" w:hAnsi="Times New Roman" w:cs="Times New Roman"/>
          <w:color w:val="000000"/>
        </w:rPr>
        <w:t xml:space="preserve"> entered a Consent Order in which the New Orleans defendants “</w:t>
      </w:r>
      <w:proofErr w:type="gramStart"/>
      <w:r w:rsidRPr="00E6559E">
        <w:rPr>
          <w:rFonts w:ascii="Times New Roman" w:eastAsia="Times New Roman" w:hAnsi="Times New Roman" w:cs="Times New Roman"/>
          <w:color w:val="000000"/>
        </w:rPr>
        <w:t>den[</w:t>
      </w:r>
      <w:proofErr w:type="spellStart"/>
      <w:proofErr w:type="gramEnd"/>
      <w:r w:rsidRPr="00E6559E">
        <w:rPr>
          <w:rFonts w:ascii="Times New Roman" w:eastAsia="Times New Roman" w:hAnsi="Times New Roman" w:cs="Times New Roman"/>
          <w:color w:val="000000"/>
        </w:rPr>
        <w:t>ied</w:t>
      </w:r>
      <w:proofErr w:type="spellEnd"/>
      <w:r w:rsidRPr="00E6559E">
        <w:rPr>
          <w:rFonts w:ascii="Times New Roman" w:eastAsia="Times New Roman" w:hAnsi="Times New Roman" w:cs="Times New Roman"/>
          <w:color w:val="000000"/>
        </w:rPr>
        <w:t>] that seizures of lawfully possessed firearms from law abiding citizens has occurred” and further denied “that any such weapons are presently in the possession of the City of New Orleans . . . .”</w:t>
      </w:r>
      <w:bookmarkStart w:id="5" w:name="_ftnref6"/>
      <w:r w:rsidRPr="00E6559E">
        <w:rPr>
          <w:rFonts w:ascii="Times New Roman" w:eastAsia="Times New Roman" w:hAnsi="Times New Roman" w:cs="Times New Roman"/>
          <w:color w:val="000000"/>
        </w:rPr>
        <w:fldChar w:fldCharType="begin"/>
      </w:r>
      <w:r w:rsidRPr="00E6559E">
        <w:rPr>
          <w:rFonts w:ascii="Times New Roman" w:eastAsia="Times New Roman" w:hAnsi="Times New Roman" w:cs="Times New Roman"/>
          <w:color w:val="000000"/>
        </w:rPr>
        <w:instrText xml:space="preserve"> HYPERLINK "http://intellectual-thoughts.com/Hurrican%20Katrina%20Gun%20Confiscatio.htm" \l "_ftn6" \o "" </w:instrText>
      </w:r>
      <w:r w:rsidRPr="00E6559E">
        <w:rPr>
          <w:rFonts w:ascii="Times New Roman" w:eastAsia="Times New Roman" w:hAnsi="Times New Roman" w:cs="Times New Roman"/>
          <w:color w:val="000000"/>
        </w:rPr>
        <w:fldChar w:fldCharType="separate"/>
      </w:r>
      <w:r w:rsidRPr="00E6559E">
        <w:rPr>
          <w:rFonts w:ascii="Times New Roman" w:eastAsia="Times New Roman" w:hAnsi="Times New Roman" w:cs="Times New Roman"/>
          <w:color w:val="0000FF"/>
          <w:u w:val="single"/>
          <w:vertAlign w:val="superscript"/>
        </w:rPr>
        <w:t>6</w:t>
      </w:r>
      <w:r w:rsidRPr="00E6559E">
        <w:rPr>
          <w:rFonts w:ascii="Times New Roman" w:eastAsia="Times New Roman" w:hAnsi="Times New Roman" w:cs="Times New Roman"/>
          <w:color w:val="000000"/>
        </w:rPr>
        <w:fldChar w:fldCharType="end"/>
      </w:r>
      <w:bookmarkEnd w:id="5"/>
      <w:r w:rsidRPr="00E6559E">
        <w:rPr>
          <w:rFonts w:ascii="Times New Roman" w:eastAsia="Times New Roman" w:hAnsi="Times New Roman" w:cs="Times New Roman"/>
          <w:color w:val="000000"/>
        </w:rPr>
        <w:t>  Nonetheless, the order enjoined the defendants “from confiscating lawfully-possessed firearms from citizens,” and ordered them “to return any and all firearms which may have been confiscated from . . . all . . . persons who lawfully possessed them, upon presentation of identification and execution of a receipt therefor.”</w:t>
      </w:r>
      <w:bookmarkStart w:id="6" w:name="_ftnref7"/>
      <w:r w:rsidRPr="00E6559E">
        <w:rPr>
          <w:rFonts w:ascii="Times New Roman" w:eastAsia="Times New Roman" w:hAnsi="Times New Roman" w:cs="Times New Roman"/>
          <w:color w:val="000000"/>
        </w:rPr>
        <w:fldChar w:fldCharType="begin"/>
      </w:r>
      <w:r w:rsidRPr="00E6559E">
        <w:rPr>
          <w:rFonts w:ascii="Times New Roman" w:eastAsia="Times New Roman" w:hAnsi="Times New Roman" w:cs="Times New Roman"/>
          <w:color w:val="000000"/>
        </w:rPr>
        <w:instrText xml:space="preserve"> HYPERLINK "http://intellectual-thoughts.com/Hurrican%20Katrina%20Gun%20Confiscatio.htm" \l "_ftn7" \o "" </w:instrText>
      </w:r>
      <w:r w:rsidRPr="00E6559E">
        <w:rPr>
          <w:rFonts w:ascii="Times New Roman" w:eastAsia="Times New Roman" w:hAnsi="Times New Roman" w:cs="Times New Roman"/>
          <w:color w:val="000000"/>
        </w:rPr>
        <w:fldChar w:fldCharType="separate"/>
      </w:r>
      <w:r w:rsidRPr="00E6559E">
        <w:rPr>
          <w:rFonts w:ascii="Times New Roman" w:eastAsia="Times New Roman" w:hAnsi="Times New Roman" w:cs="Times New Roman"/>
          <w:color w:val="0000FF"/>
          <w:u w:val="single"/>
          <w:vertAlign w:val="superscript"/>
        </w:rPr>
        <w:t>7</w:t>
      </w:r>
      <w:r w:rsidRPr="00E6559E">
        <w:rPr>
          <w:rFonts w:ascii="Times New Roman" w:eastAsia="Times New Roman" w:hAnsi="Times New Roman" w:cs="Times New Roman"/>
          <w:color w:val="000000"/>
        </w:rPr>
        <w:fldChar w:fldCharType="end"/>
      </w:r>
      <w:bookmarkEnd w:id="6"/>
    </w:p>
    <w:p w:rsidR="00E6559E" w:rsidRPr="00E6559E" w:rsidRDefault="00E6559E" w:rsidP="00E6559E">
      <w:pPr>
        <w:spacing w:after="0" w:line="480" w:lineRule="atLeast"/>
        <w:jc w:val="both"/>
        <w:rPr>
          <w:rFonts w:ascii="Times New Roman" w:eastAsia="Times New Roman" w:hAnsi="Times New Roman" w:cs="Times New Roman"/>
          <w:color w:val="000000"/>
        </w:rPr>
      </w:pPr>
      <w:r w:rsidRPr="00E6559E">
        <w:rPr>
          <w:rFonts w:ascii="Times New Roman" w:eastAsia="Times New Roman" w:hAnsi="Times New Roman" w:cs="Times New Roman"/>
          <w:color w:val="000000"/>
        </w:rPr>
        <w:t>            In addition to the New Orleans defendants, the complaint named the sheriff of St. Tammy Parish and John Doe deputies as defendants.  Plaintiff Buell O. Teel was in his boat on Lake Pontchartrain in St. Tammany Parish working under contract to find an open path to the Industrial Canal in New Orleans.  Officers in a sheriff’s boat came alongside with assault rifles pointing at him and demanded any firearms he might have.  He surrendered two encased hunting rifles which he kept for his protection.</w:t>
      </w:r>
      <w:bookmarkStart w:id="7" w:name="_ftnref8"/>
      <w:r w:rsidRPr="00E6559E">
        <w:rPr>
          <w:rFonts w:ascii="Times New Roman" w:eastAsia="Times New Roman" w:hAnsi="Times New Roman" w:cs="Times New Roman"/>
          <w:color w:val="000000"/>
        </w:rPr>
        <w:fldChar w:fldCharType="begin"/>
      </w:r>
      <w:r w:rsidRPr="00E6559E">
        <w:rPr>
          <w:rFonts w:ascii="Times New Roman" w:eastAsia="Times New Roman" w:hAnsi="Times New Roman" w:cs="Times New Roman"/>
          <w:color w:val="000000"/>
        </w:rPr>
        <w:instrText xml:space="preserve"> HYPERLINK "http://intellectual-thoughts.com/Hurrican%20Katrina%20Gun%20Confiscatio.htm" \l "_ftn8" \o "" </w:instrText>
      </w:r>
      <w:r w:rsidRPr="00E6559E">
        <w:rPr>
          <w:rFonts w:ascii="Times New Roman" w:eastAsia="Times New Roman" w:hAnsi="Times New Roman" w:cs="Times New Roman"/>
          <w:color w:val="000000"/>
        </w:rPr>
        <w:fldChar w:fldCharType="separate"/>
      </w:r>
      <w:r w:rsidRPr="00E6559E">
        <w:rPr>
          <w:rFonts w:ascii="Times New Roman" w:eastAsia="Times New Roman" w:hAnsi="Times New Roman" w:cs="Times New Roman"/>
          <w:color w:val="0000FF"/>
          <w:u w:val="single"/>
          <w:vertAlign w:val="superscript"/>
        </w:rPr>
        <w:t>8</w:t>
      </w:r>
      <w:r w:rsidRPr="00E6559E">
        <w:rPr>
          <w:rFonts w:ascii="Times New Roman" w:eastAsia="Times New Roman" w:hAnsi="Times New Roman" w:cs="Times New Roman"/>
          <w:color w:val="000000"/>
        </w:rPr>
        <w:fldChar w:fldCharType="end"/>
      </w:r>
      <w:bookmarkEnd w:id="7"/>
      <w:r w:rsidRPr="00E6559E">
        <w:rPr>
          <w:rFonts w:ascii="Times New Roman" w:eastAsia="Times New Roman" w:hAnsi="Times New Roman" w:cs="Times New Roman"/>
          <w:color w:val="000000"/>
        </w:rPr>
        <w:t>  Other citizens in the parish also had firearms seized.  The plaintiffs reached an early settlement with the St. Tammany defendants with a return of the seized firearms and the entry of a permanent injunction against further confiscations.</w:t>
      </w:r>
      <w:bookmarkStart w:id="8" w:name="_ftnref9"/>
      <w:r w:rsidRPr="00E6559E">
        <w:rPr>
          <w:rFonts w:ascii="Times New Roman" w:eastAsia="Times New Roman" w:hAnsi="Times New Roman" w:cs="Times New Roman"/>
          <w:color w:val="000000"/>
        </w:rPr>
        <w:fldChar w:fldCharType="begin"/>
      </w:r>
      <w:r w:rsidRPr="00E6559E">
        <w:rPr>
          <w:rFonts w:ascii="Times New Roman" w:eastAsia="Times New Roman" w:hAnsi="Times New Roman" w:cs="Times New Roman"/>
          <w:color w:val="000000"/>
        </w:rPr>
        <w:instrText xml:space="preserve"> HYPERLINK "http://intellectual-thoughts.com/Hurrican%20Katrina%20Gun%20Confiscatio.htm" \l "_ftn9" \o "" </w:instrText>
      </w:r>
      <w:r w:rsidRPr="00E6559E">
        <w:rPr>
          <w:rFonts w:ascii="Times New Roman" w:eastAsia="Times New Roman" w:hAnsi="Times New Roman" w:cs="Times New Roman"/>
          <w:color w:val="000000"/>
        </w:rPr>
        <w:fldChar w:fldCharType="separate"/>
      </w:r>
      <w:r w:rsidRPr="00E6559E">
        <w:rPr>
          <w:rFonts w:ascii="Times New Roman" w:eastAsia="Times New Roman" w:hAnsi="Times New Roman" w:cs="Times New Roman"/>
          <w:color w:val="0000FF"/>
          <w:u w:val="single"/>
          <w:vertAlign w:val="superscript"/>
        </w:rPr>
        <w:t>9</w:t>
      </w:r>
      <w:r w:rsidRPr="00E6559E">
        <w:rPr>
          <w:rFonts w:ascii="Times New Roman" w:eastAsia="Times New Roman" w:hAnsi="Times New Roman" w:cs="Times New Roman"/>
          <w:color w:val="000000"/>
        </w:rPr>
        <w:fldChar w:fldCharType="end"/>
      </w:r>
      <w:bookmarkEnd w:id="8"/>
    </w:p>
    <w:p w:rsidR="00E6559E" w:rsidRPr="00E6559E" w:rsidRDefault="00E6559E" w:rsidP="00E6559E">
      <w:pPr>
        <w:spacing w:after="0" w:line="480" w:lineRule="atLeast"/>
        <w:jc w:val="both"/>
        <w:rPr>
          <w:rFonts w:ascii="Times New Roman" w:eastAsia="Times New Roman" w:hAnsi="Times New Roman" w:cs="Times New Roman"/>
          <w:color w:val="000000"/>
        </w:rPr>
      </w:pPr>
      <w:r w:rsidRPr="00E6559E">
        <w:rPr>
          <w:rFonts w:ascii="Times New Roman" w:eastAsia="Times New Roman" w:hAnsi="Times New Roman" w:cs="Times New Roman"/>
          <w:b/>
          <w:bCs/>
          <w:color w:val="000000"/>
        </w:rPr>
        <w:t>Failure to Return Seized Firearms</w:t>
      </w:r>
    </w:p>
    <w:p w:rsidR="00E6559E" w:rsidRPr="00E6559E" w:rsidRDefault="00E6559E" w:rsidP="00E6559E">
      <w:pPr>
        <w:spacing w:after="0" w:line="480" w:lineRule="atLeast"/>
        <w:jc w:val="both"/>
        <w:rPr>
          <w:rFonts w:ascii="Times New Roman" w:eastAsia="Times New Roman" w:hAnsi="Times New Roman" w:cs="Times New Roman"/>
          <w:color w:val="000000"/>
        </w:rPr>
      </w:pPr>
      <w:r w:rsidRPr="00E6559E">
        <w:rPr>
          <w:rFonts w:ascii="Times New Roman" w:eastAsia="Times New Roman" w:hAnsi="Times New Roman" w:cs="Times New Roman"/>
          <w:color w:val="000000"/>
        </w:rPr>
        <w:t xml:space="preserve">            Plaintiffs filed a motion to hold the New Orleans defendants in contempt for not implementing a plan to return confiscated firearms, which was set on the court’s docket for March 15, 2006.  New Orleans Counsel Joseph </w:t>
      </w:r>
      <w:proofErr w:type="spellStart"/>
      <w:r w:rsidRPr="00E6559E">
        <w:rPr>
          <w:rFonts w:ascii="Times New Roman" w:eastAsia="Times New Roman" w:hAnsi="Times New Roman" w:cs="Times New Roman"/>
          <w:color w:val="000000"/>
        </w:rPr>
        <w:t>DiRosa</w:t>
      </w:r>
      <w:proofErr w:type="spellEnd"/>
      <w:r w:rsidRPr="00E6559E">
        <w:rPr>
          <w:rFonts w:ascii="Times New Roman" w:eastAsia="Times New Roman" w:hAnsi="Times New Roman" w:cs="Times New Roman"/>
          <w:color w:val="000000"/>
        </w:rPr>
        <w:t xml:space="preserve"> appeared before court began and offered to allow plaintiffs’ counsel to inspect firearms being held by the police and to enter into negotiations to establish a procedure for owners to claim their firearms.  Plaintiff’s counsel thereupon continued the motion pending negotiations.  This author’s contemporaneous notes reflect:</w:t>
      </w:r>
    </w:p>
    <w:p w:rsidR="00E6559E" w:rsidRPr="00E6559E" w:rsidRDefault="00E6559E" w:rsidP="00E6559E">
      <w:pPr>
        <w:spacing w:after="0" w:line="240" w:lineRule="auto"/>
        <w:ind w:left="720" w:right="720"/>
        <w:jc w:val="both"/>
        <w:rPr>
          <w:rFonts w:ascii="Times New Roman" w:eastAsia="Times New Roman" w:hAnsi="Times New Roman" w:cs="Times New Roman"/>
          <w:color w:val="000000"/>
        </w:rPr>
      </w:pPr>
      <w:r w:rsidRPr="00E6559E">
        <w:rPr>
          <w:rFonts w:ascii="Times New Roman" w:eastAsia="Times New Roman" w:hAnsi="Times New Roman" w:cs="Times New Roman"/>
          <w:color w:val="000000"/>
        </w:rPr>
        <w:t xml:space="preserve">We went to the police facility where the guns are stored in a double wide trailer and a moving truck.  Some are evidence guns (for criminal cases) but most are property guns (confiscated from citizens not accused of any crime).  In both the trailer and the truck, there </w:t>
      </w:r>
      <w:r w:rsidRPr="00E6559E">
        <w:rPr>
          <w:rFonts w:ascii="Times New Roman" w:eastAsia="Times New Roman" w:hAnsi="Times New Roman" w:cs="Times New Roman"/>
          <w:color w:val="000000"/>
        </w:rPr>
        <w:lastRenderedPageBreak/>
        <w:t>are piles of rifles and shotguns stacked on the floor (mostly hunting type, some military style), and large plastic buckets of handguns. The majority are rusted, some unsalvageable, others in good condition. . . .</w:t>
      </w:r>
    </w:p>
    <w:p w:rsidR="00E6559E" w:rsidRPr="00E6559E" w:rsidRDefault="00E6559E" w:rsidP="00E6559E">
      <w:pPr>
        <w:spacing w:after="0" w:line="240" w:lineRule="auto"/>
        <w:ind w:left="720" w:right="720"/>
        <w:jc w:val="both"/>
        <w:rPr>
          <w:rFonts w:ascii="Times New Roman" w:eastAsia="Times New Roman" w:hAnsi="Times New Roman" w:cs="Times New Roman"/>
          <w:color w:val="000000"/>
        </w:rPr>
      </w:pPr>
      <w:r w:rsidRPr="00E6559E">
        <w:rPr>
          <w:rFonts w:ascii="Times New Roman" w:eastAsia="Times New Roman" w:hAnsi="Times New Roman" w:cs="Times New Roman"/>
          <w:color w:val="000000"/>
        </w:rPr>
        <w:t>The guns in good condition were apparently those seized from persons at their homes or in vehicles.  Those in the worst condition may have originated from flooded homes when police conducted house searches for dead bodies and guns. . . .</w:t>
      </w:r>
    </w:p>
    <w:p w:rsidR="00E6559E" w:rsidRPr="00E6559E" w:rsidRDefault="00E6559E" w:rsidP="00E6559E">
      <w:pPr>
        <w:spacing w:after="0" w:line="240" w:lineRule="auto"/>
        <w:ind w:left="720" w:right="720"/>
        <w:jc w:val="both"/>
        <w:rPr>
          <w:rFonts w:ascii="Times New Roman" w:eastAsia="Times New Roman" w:hAnsi="Times New Roman" w:cs="Times New Roman"/>
          <w:color w:val="000000"/>
        </w:rPr>
      </w:pPr>
      <w:r w:rsidRPr="00E6559E">
        <w:rPr>
          <w:rFonts w:ascii="Times New Roman" w:eastAsia="Times New Roman" w:hAnsi="Times New Roman" w:cs="Times New Roman"/>
          <w:color w:val="000000"/>
        </w:rPr>
        <w:t>The guns are tagged.  Many tags have no names but only an address, or only the address of the block. . . .</w:t>
      </w:r>
    </w:p>
    <w:p w:rsidR="00E6559E" w:rsidRPr="00E6559E" w:rsidRDefault="00E6559E" w:rsidP="00E6559E">
      <w:pPr>
        <w:spacing w:after="0" w:line="240" w:lineRule="auto"/>
        <w:ind w:left="720" w:right="720"/>
        <w:jc w:val="both"/>
        <w:rPr>
          <w:rFonts w:ascii="Times New Roman" w:eastAsia="Times New Roman" w:hAnsi="Times New Roman" w:cs="Times New Roman"/>
          <w:color w:val="000000"/>
        </w:rPr>
      </w:pPr>
      <w:r w:rsidRPr="00E6559E">
        <w:rPr>
          <w:rFonts w:ascii="Times New Roman" w:eastAsia="Times New Roman" w:hAnsi="Times New Roman" w:cs="Times New Roman"/>
          <w:color w:val="000000"/>
        </w:rPr>
        <w:t>The figure of 1,100 guns at the premises was given, including both evidence and property guns.</w:t>
      </w:r>
    </w:p>
    <w:p w:rsidR="00E6559E" w:rsidRPr="00E6559E" w:rsidRDefault="00E6559E" w:rsidP="00E6559E">
      <w:pPr>
        <w:spacing w:after="0" w:line="240" w:lineRule="auto"/>
        <w:ind w:left="720" w:right="720"/>
        <w:jc w:val="both"/>
        <w:rPr>
          <w:rFonts w:ascii="Times New Roman" w:eastAsia="Times New Roman" w:hAnsi="Times New Roman" w:cs="Times New Roman"/>
          <w:color w:val="000000"/>
        </w:rPr>
      </w:pPr>
      <w:r w:rsidRPr="00E6559E">
        <w:rPr>
          <w:rFonts w:ascii="Times New Roman" w:eastAsia="Times New Roman" w:hAnsi="Times New Roman" w:cs="Times New Roman"/>
          <w:color w:val="000000"/>
        </w:rPr>
        <w:t> </w:t>
      </w:r>
    </w:p>
    <w:p w:rsidR="00E6559E" w:rsidRPr="00E6559E" w:rsidRDefault="00E6559E" w:rsidP="00E6559E">
      <w:pPr>
        <w:spacing w:after="0" w:line="480" w:lineRule="atLeast"/>
        <w:jc w:val="both"/>
        <w:rPr>
          <w:rFonts w:ascii="Times New Roman" w:eastAsia="Times New Roman" w:hAnsi="Times New Roman" w:cs="Times New Roman"/>
          <w:color w:val="000000"/>
        </w:rPr>
      </w:pPr>
      <w:r w:rsidRPr="00E6559E">
        <w:rPr>
          <w:rFonts w:ascii="Times New Roman" w:eastAsia="Times New Roman" w:hAnsi="Times New Roman" w:cs="Times New Roman"/>
          <w:color w:val="000000"/>
        </w:rPr>
        <w:t>            Thereafter the NRA and SAF publicized the address and telephone number of the police facility so that owners could retrieve their firearms.  While a number of owners went to the facility, most were turned away empty handed.  Police requested original bills of sale which flood victims would not have and otherwise told claimants that they could not locate the firearms requested.</w:t>
      </w:r>
    </w:p>
    <w:p w:rsidR="00E6559E" w:rsidRPr="00E6559E" w:rsidRDefault="00E6559E" w:rsidP="00E6559E">
      <w:pPr>
        <w:spacing w:after="0" w:line="480" w:lineRule="atLeast"/>
        <w:jc w:val="both"/>
        <w:rPr>
          <w:rFonts w:ascii="Times New Roman" w:eastAsia="Times New Roman" w:hAnsi="Times New Roman" w:cs="Times New Roman"/>
          <w:color w:val="000000"/>
        </w:rPr>
      </w:pPr>
      <w:r w:rsidRPr="00E6559E">
        <w:rPr>
          <w:rFonts w:ascii="Times New Roman" w:eastAsia="Times New Roman" w:hAnsi="Times New Roman" w:cs="Times New Roman"/>
          <w:b/>
          <w:bCs/>
          <w:color w:val="000000"/>
        </w:rPr>
        <w:t>The Motion to Dismiss</w:t>
      </w:r>
    </w:p>
    <w:p w:rsidR="00E6559E" w:rsidRPr="00E6559E" w:rsidRDefault="00E6559E" w:rsidP="00E6559E">
      <w:pPr>
        <w:spacing w:after="0" w:line="480" w:lineRule="atLeast"/>
        <w:jc w:val="both"/>
        <w:rPr>
          <w:rFonts w:ascii="Times New Roman" w:eastAsia="Times New Roman" w:hAnsi="Times New Roman" w:cs="Times New Roman"/>
          <w:color w:val="000000"/>
        </w:rPr>
      </w:pPr>
      <w:r w:rsidRPr="00E6559E">
        <w:rPr>
          <w:rFonts w:ascii="Times New Roman" w:eastAsia="Times New Roman" w:hAnsi="Times New Roman" w:cs="Times New Roman"/>
          <w:color w:val="000000"/>
        </w:rPr>
        <w:t>            Meanwhile, New Orleans filed a motion to dismiss the complaint for lack of subject matter jurisdiction and for failure to state a viable claim.  The motion asserted that “the states, and by extension their political subdivisions, are free to proscribe the possession of firearms, not only because the Second Amendment does not prohibit it but also pursuant to the emergency powers granted to the State and municipality during a state of emergency.”</w:t>
      </w:r>
      <w:r w:rsidRPr="00E6559E">
        <w:rPr>
          <w:rFonts w:ascii="Times New Roman" w:eastAsia="Times New Roman" w:hAnsi="Times New Roman" w:cs="Times New Roman"/>
          <w:color w:val="000000"/>
          <w:vertAlign w:val="superscript"/>
        </w:rPr>
        <w:t>1</w:t>
      </w:r>
      <w:bookmarkStart w:id="9" w:name="_ftnref10"/>
      <w:r w:rsidRPr="00E6559E">
        <w:rPr>
          <w:rFonts w:ascii="Times New Roman" w:eastAsia="Times New Roman" w:hAnsi="Times New Roman" w:cs="Times New Roman"/>
          <w:color w:val="000000"/>
          <w:vertAlign w:val="superscript"/>
        </w:rPr>
        <w:fldChar w:fldCharType="begin"/>
      </w:r>
      <w:r w:rsidRPr="00E6559E">
        <w:rPr>
          <w:rFonts w:ascii="Times New Roman" w:eastAsia="Times New Roman" w:hAnsi="Times New Roman" w:cs="Times New Roman"/>
          <w:color w:val="000000"/>
          <w:vertAlign w:val="superscript"/>
        </w:rPr>
        <w:instrText xml:space="preserve"> HYPERLINK "http://intellectual-thoughts.com/Hurrican%20Katrina%20Gun%20Confiscatio.htm" \l "_ftn10" \o "" </w:instrText>
      </w:r>
      <w:r w:rsidRPr="00E6559E">
        <w:rPr>
          <w:rFonts w:ascii="Times New Roman" w:eastAsia="Times New Roman" w:hAnsi="Times New Roman" w:cs="Times New Roman"/>
          <w:color w:val="000000"/>
          <w:vertAlign w:val="superscript"/>
        </w:rPr>
        <w:fldChar w:fldCharType="separate"/>
      </w:r>
      <w:r w:rsidRPr="00E6559E">
        <w:rPr>
          <w:rFonts w:ascii="Times New Roman" w:eastAsia="Times New Roman" w:hAnsi="Times New Roman" w:cs="Times New Roman"/>
          <w:color w:val="0000FF"/>
          <w:u w:val="single"/>
          <w:vertAlign w:val="superscript"/>
        </w:rPr>
        <w:t>0</w:t>
      </w:r>
      <w:r w:rsidRPr="00E6559E">
        <w:rPr>
          <w:rFonts w:ascii="Times New Roman" w:eastAsia="Times New Roman" w:hAnsi="Times New Roman" w:cs="Times New Roman"/>
          <w:color w:val="000000"/>
          <w:vertAlign w:val="superscript"/>
        </w:rPr>
        <w:fldChar w:fldCharType="end"/>
      </w:r>
      <w:bookmarkEnd w:id="9"/>
      <w:r w:rsidRPr="00E6559E">
        <w:rPr>
          <w:rFonts w:ascii="Times New Roman" w:eastAsia="Times New Roman" w:hAnsi="Times New Roman" w:cs="Times New Roman"/>
          <w:color w:val="000000"/>
        </w:rPr>
        <w:t>  Defendants argued that the claim under the Second and Fourteenth Amendments was defective, and that “although plaintiffs also assert due-process, equal-protection, and search-and-seizure claims arising under the U.S. Constitution, none of these other claims stands without their Second Amendment claims.”</w:t>
      </w:r>
      <w:r w:rsidRPr="00E6559E">
        <w:rPr>
          <w:rFonts w:ascii="Times New Roman" w:eastAsia="Times New Roman" w:hAnsi="Times New Roman" w:cs="Times New Roman"/>
          <w:color w:val="000000"/>
          <w:vertAlign w:val="superscript"/>
        </w:rPr>
        <w:t>1</w:t>
      </w:r>
      <w:bookmarkStart w:id="10" w:name="_ftnref11"/>
      <w:r w:rsidRPr="00E6559E">
        <w:rPr>
          <w:rFonts w:ascii="Times New Roman" w:eastAsia="Times New Roman" w:hAnsi="Times New Roman" w:cs="Times New Roman"/>
          <w:color w:val="000000"/>
          <w:vertAlign w:val="superscript"/>
        </w:rPr>
        <w:fldChar w:fldCharType="begin"/>
      </w:r>
      <w:r w:rsidRPr="00E6559E">
        <w:rPr>
          <w:rFonts w:ascii="Times New Roman" w:eastAsia="Times New Roman" w:hAnsi="Times New Roman" w:cs="Times New Roman"/>
          <w:color w:val="000000"/>
          <w:vertAlign w:val="superscript"/>
        </w:rPr>
        <w:instrText xml:space="preserve"> HYPERLINK "http://intellectual-thoughts.com/Hurrican%20Katrina%20Gun%20Confiscatio.htm" \l "_ftn11" \o "" </w:instrText>
      </w:r>
      <w:r w:rsidRPr="00E6559E">
        <w:rPr>
          <w:rFonts w:ascii="Times New Roman" w:eastAsia="Times New Roman" w:hAnsi="Times New Roman" w:cs="Times New Roman"/>
          <w:color w:val="000000"/>
          <w:vertAlign w:val="superscript"/>
        </w:rPr>
        <w:fldChar w:fldCharType="separate"/>
      </w:r>
      <w:r w:rsidRPr="00E6559E">
        <w:rPr>
          <w:rFonts w:ascii="Times New Roman" w:eastAsia="Times New Roman" w:hAnsi="Times New Roman" w:cs="Times New Roman"/>
          <w:color w:val="0000FF"/>
          <w:u w:val="single"/>
          <w:vertAlign w:val="superscript"/>
        </w:rPr>
        <w:t>1</w:t>
      </w:r>
      <w:r w:rsidRPr="00E6559E">
        <w:rPr>
          <w:rFonts w:ascii="Times New Roman" w:eastAsia="Times New Roman" w:hAnsi="Times New Roman" w:cs="Times New Roman"/>
          <w:color w:val="000000"/>
          <w:vertAlign w:val="superscript"/>
        </w:rPr>
        <w:fldChar w:fldCharType="end"/>
      </w:r>
      <w:bookmarkEnd w:id="10"/>
      <w:r w:rsidRPr="00E6559E">
        <w:rPr>
          <w:rFonts w:ascii="Times New Roman" w:eastAsia="Times New Roman" w:hAnsi="Times New Roman" w:cs="Times New Roman"/>
          <w:color w:val="000000"/>
        </w:rPr>
        <w:t xml:space="preserve">  </w:t>
      </w:r>
      <w:proofErr w:type="gramStart"/>
      <w:r w:rsidRPr="00E6559E">
        <w:rPr>
          <w:rFonts w:ascii="Times New Roman" w:eastAsia="Times New Roman" w:hAnsi="Times New Roman" w:cs="Times New Roman"/>
          <w:color w:val="000000"/>
        </w:rPr>
        <w:t>The</w:t>
      </w:r>
      <w:proofErr w:type="gramEnd"/>
      <w:r w:rsidRPr="00E6559E">
        <w:rPr>
          <w:rFonts w:ascii="Times New Roman" w:eastAsia="Times New Roman" w:hAnsi="Times New Roman" w:cs="Times New Roman"/>
          <w:color w:val="000000"/>
        </w:rPr>
        <w:t xml:space="preserve"> following summarizes plaintiffs’ response and then the court’s ruling.</w:t>
      </w:r>
    </w:p>
    <w:p w:rsidR="00E6559E" w:rsidRDefault="00E6559E" w:rsidP="006056B7">
      <w:pPr>
        <w:spacing w:after="0"/>
        <w:rPr>
          <w:rFonts w:ascii="Times New Roman" w:hAnsi="Times New Roman" w:cs="Times New Roman"/>
        </w:rPr>
      </w:pPr>
    </w:p>
    <w:p w:rsidR="0090434C" w:rsidRDefault="0090434C" w:rsidP="006056B7">
      <w:pPr>
        <w:spacing w:after="0"/>
        <w:rPr>
          <w:rFonts w:ascii="Times New Roman" w:hAnsi="Times New Roman" w:cs="Times New Roman"/>
        </w:rPr>
      </w:pPr>
    </w:p>
    <w:p w:rsidR="0090434C" w:rsidRDefault="0090434C" w:rsidP="006056B7">
      <w:pPr>
        <w:spacing w:after="0"/>
        <w:rPr>
          <w:rFonts w:ascii="Times New Roman" w:hAnsi="Times New Roman" w:cs="Times New Roman"/>
        </w:rPr>
      </w:pPr>
    </w:p>
    <w:p w:rsidR="0090434C" w:rsidRDefault="0090434C" w:rsidP="006056B7">
      <w:pPr>
        <w:spacing w:after="0"/>
        <w:rPr>
          <w:rFonts w:ascii="Times New Roman" w:hAnsi="Times New Roman" w:cs="Times New Roman"/>
        </w:rPr>
      </w:pPr>
    </w:p>
    <w:p w:rsidR="0090434C" w:rsidRDefault="0090434C" w:rsidP="006056B7">
      <w:pPr>
        <w:spacing w:after="0"/>
        <w:rPr>
          <w:rFonts w:ascii="Times New Roman" w:hAnsi="Times New Roman" w:cs="Times New Roman"/>
        </w:rPr>
      </w:pPr>
    </w:p>
    <w:p w:rsidR="0090434C" w:rsidRDefault="0090434C" w:rsidP="006056B7">
      <w:pPr>
        <w:spacing w:after="0"/>
        <w:rPr>
          <w:rFonts w:ascii="Times New Roman" w:hAnsi="Times New Roman" w:cs="Times New Roman"/>
        </w:rPr>
      </w:pPr>
    </w:p>
    <w:p w:rsidR="0090434C" w:rsidRDefault="0090434C" w:rsidP="006056B7">
      <w:pPr>
        <w:spacing w:after="0"/>
        <w:rPr>
          <w:rFonts w:ascii="Times New Roman" w:hAnsi="Times New Roman" w:cs="Times New Roman"/>
        </w:rPr>
      </w:pPr>
    </w:p>
    <w:p w:rsidR="0090434C" w:rsidRDefault="0090434C" w:rsidP="006056B7">
      <w:pPr>
        <w:spacing w:after="0"/>
        <w:rPr>
          <w:rFonts w:ascii="Times New Roman" w:hAnsi="Times New Roman" w:cs="Times New Roman"/>
        </w:rPr>
      </w:pPr>
    </w:p>
    <w:p w:rsidR="0090434C" w:rsidRDefault="0090434C" w:rsidP="006056B7">
      <w:pPr>
        <w:spacing w:after="0"/>
        <w:rPr>
          <w:rFonts w:ascii="Times New Roman" w:hAnsi="Times New Roman" w:cs="Times New Roman"/>
        </w:rPr>
      </w:pPr>
    </w:p>
    <w:p w:rsidR="0090434C" w:rsidRDefault="0090434C" w:rsidP="006056B7">
      <w:pPr>
        <w:spacing w:after="0"/>
        <w:rPr>
          <w:rFonts w:ascii="Times New Roman" w:hAnsi="Times New Roman" w:cs="Times New Roman"/>
        </w:rPr>
      </w:pPr>
    </w:p>
    <w:p w:rsidR="00E6559E" w:rsidRDefault="00E6559E" w:rsidP="00E6559E">
      <w:pPr>
        <w:tabs>
          <w:tab w:val="left" w:pos="930"/>
        </w:tabs>
        <w:spacing w:after="0"/>
        <w:rPr>
          <w:rFonts w:ascii="Times New Roman" w:hAnsi="Times New Roman" w:cs="Times New Roman"/>
        </w:rPr>
      </w:pPr>
    </w:p>
    <w:p w:rsidR="0090434C" w:rsidRPr="00E6559E" w:rsidRDefault="00E6559E" w:rsidP="00E6559E">
      <w:pPr>
        <w:tabs>
          <w:tab w:val="left" w:pos="930"/>
        </w:tabs>
        <w:spacing w:after="0"/>
        <w:rPr>
          <w:rFonts w:ascii="Times New Roman" w:hAnsi="Times New Roman" w:cs="Times New Roman"/>
          <w:sz w:val="28"/>
        </w:rPr>
      </w:pPr>
      <w:r w:rsidRPr="00E6559E">
        <w:rPr>
          <w:rFonts w:ascii="Times New Roman" w:hAnsi="Times New Roman" w:cs="Times New Roman"/>
          <w:sz w:val="28"/>
        </w:rPr>
        <w:tab/>
      </w:r>
    </w:p>
    <w:p w:rsidR="00E6559E" w:rsidRPr="00E6559E" w:rsidRDefault="00E6559E" w:rsidP="00E6559E">
      <w:pPr>
        <w:pBdr>
          <w:bottom w:val="single" w:sz="6" w:space="0" w:color="AAAAAA"/>
        </w:pBdr>
        <w:spacing w:after="60" w:line="240" w:lineRule="auto"/>
        <w:outlineLvl w:val="0"/>
        <w:rPr>
          <w:rFonts w:ascii="Times New Roman" w:eastAsia="Times New Roman" w:hAnsi="Times New Roman" w:cs="Times New Roman"/>
          <w:color w:val="000000"/>
          <w:kern w:val="36"/>
          <w:sz w:val="28"/>
          <w:lang w:val="en"/>
        </w:rPr>
      </w:pPr>
      <w:r w:rsidRPr="00E6559E">
        <w:rPr>
          <w:rFonts w:ascii="Times New Roman" w:eastAsia="Times New Roman" w:hAnsi="Times New Roman" w:cs="Times New Roman"/>
          <w:color w:val="000000"/>
          <w:kern w:val="36"/>
          <w:sz w:val="28"/>
          <w:lang w:val="en"/>
        </w:rPr>
        <w:lastRenderedPageBreak/>
        <w:t>Firearms Control Regulations Act of 1975</w:t>
      </w:r>
    </w:p>
    <w:p w:rsidR="00E6559E" w:rsidRPr="00E6559E" w:rsidRDefault="00E6559E" w:rsidP="00E6559E">
      <w:pPr>
        <w:spacing w:after="0" w:line="240" w:lineRule="auto"/>
        <w:rPr>
          <w:rFonts w:ascii="Times New Roman" w:eastAsia="Times New Roman" w:hAnsi="Times New Roman" w:cs="Times New Roman"/>
          <w:color w:val="252525"/>
        </w:rPr>
      </w:pPr>
      <w:r w:rsidRPr="00E6559E">
        <w:rPr>
          <w:rFonts w:ascii="Times New Roman" w:eastAsia="Times New Roman" w:hAnsi="Times New Roman" w:cs="Times New Roman"/>
          <w:color w:val="252525"/>
        </w:rPr>
        <w:t>From Wikipedia, the free encyclopedia</w:t>
      </w:r>
    </w:p>
    <w:p w:rsidR="00E6559E" w:rsidRPr="00E6559E" w:rsidRDefault="00E6559E" w:rsidP="00E6559E">
      <w:pPr>
        <w:spacing w:before="120" w:after="120" w:line="240" w:lineRule="auto"/>
        <w:rPr>
          <w:rFonts w:ascii="Times New Roman" w:eastAsia="Times New Roman" w:hAnsi="Times New Roman" w:cs="Times New Roman"/>
          <w:color w:val="252525"/>
          <w:lang w:val="en"/>
        </w:rPr>
      </w:pPr>
      <w:r w:rsidRPr="00E6559E">
        <w:rPr>
          <w:rFonts w:ascii="Times New Roman" w:eastAsia="Times New Roman" w:hAnsi="Times New Roman" w:cs="Times New Roman"/>
          <w:color w:val="252525"/>
          <w:lang w:val="en"/>
        </w:rPr>
        <w:t>The </w:t>
      </w:r>
      <w:r w:rsidRPr="00E6559E">
        <w:rPr>
          <w:rFonts w:ascii="Times New Roman" w:eastAsia="Times New Roman" w:hAnsi="Times New Roman" w:cs="Times New Roman"/>
          <w:b/>
          <w:bCs/>
          <w:color w:val="252525"/>
          <w:lang w:val="en"/>
        </w:rPr>
        <w:t>Firearms Control Regulations Act of 1975</w:t>
      </w:r>
      <w:r w:rsidRPr="00E6559E">
        <w:rPr>
          <w:rFonts w:ascii="Times New Roman" w:eastAsia="Times New Roman" w:hAnsi="Times New Roman" w:cs="Times New Roman"/>
          <w:color w:val="252525"/>
          <w:lang w:val="en"/>
        </w:rPr>
        <w:t> was passed by the </w:t>
      </w:r>
      <w:hyperlink r:id="rId7" w:tooltip="District of Columbia" w:history="1">
        <w:r w:rsidRPr="00E6559E">
          <w:rPr>
            <w:rFonts w:ascii="Times New Roman" w:eastAsia="Times New Roman" w:hAnsi="Times New Roman" w:cs="Times New Roman"/>
            <w:color w:val="0B0080"/>
            <w:u w:val="single"/>
            <w:lang w:val="en"/>
          </w:rPr>
          <w:t>District of Columbia</w:t>
        </w:r>
      </w:hyperlink>
      <w:r w:rsidRPr="00E6559E">
        <w:rPr>
          <w:rFonts w:ascii="Times New Roman" w:eastAsia="Times New Roman" w:hAnsi="Times New Roman" w:cs="Times New Roman"/>
          <w:color w:val="252525"/>
          <w:lang w:val="en"/>
        </w:rPr>
        <w:t> city </w:t>
      </w:r>
      <w:hyperlink r:id="rId8" w:tooltip="Council of the District of Columbia" w:history="1">
        <w:r w:rsidRPr="00E6559E">
          <w:rPr>
            <w:rFonts w:ascii="Times New Roman" w:eastAsia="Times New Roman" w:hAnsi="Times New Roman" w:cs="Times New Roman"/>
            <w:color w:val="0B0080"/>
            <w:u w:val="single"/>
            <w:lang w:val="en"/>
          </w:rPr>
          <w:t>council</w:t>
        </w:r>
      </w:hyperlink>
      <w:r w:rsidRPr="00E6559E">
        <w:rPr>
          <w:rFonts w:ascii="Times New Roman" w:eastAsia="Times New Roman" w:hAnsi="Times New Roman" w:cs="Times New Roman"/>
          <w:color w:val="252525"/>
          <w:lang w:val="en"/>
        </w:rPr>
        <w:t> on September 24, 1976.</w:t>
      </w:r>
      <w:hyperlink r:id="rId9" w:anchor="cite_note-1" w:history="1">
        <w:r w:rsidRPr="00E6559E">
          <w:rPr>
            <w:rFonts w:ascii="Times New Roman" w:eastAsia="Times New Roman" w:hAnsi="Times New Roman" w:cs="Times New Roman"/>
            <w:color w:val="0B0080"/>
            <w:u w:val="single"/>
            <w:vertAlign w:val="superscript"/>
            <w:lang w:val="en"/>
          </w:rPr>
          <w:t>[1]</w:t>
        </w:r>
      </w:hyperlink>
      <w:r w:rsidRPr="00E6559E">
        <w:rPr>
          <w:rFonts w:ascii="Times New Roman" w:eastAsia="Times New Roman" w:hAnsi="Times New Roman" w:cs="Times New Roman"/>
          <w:color w:val="252525"/>
          <w:lang w:val="en"/>
        </w:rPr>
        <w:t> The law banned residents from owning </w:t>
      </w:r>
      <w:hyperlink r:id="rId10" w:tooltip="Handgun" w:history="1">
        <w:r w:rsidRPr="00E6559E">
          <w:rPr>
            <w:rFonts w:ascii="Times New Roman" w:eastAsia="Times New Roman" w:hAnsi="Times New Roman" w:cs="Times New Roman"/>
            <w:color w:val="0B0080"/>
            <w:u w:val="single"/>
            <w:lang w:val="en"/>
          </w:rPr>
          <w:t>handguns</w:t>
        </w:r>
      </w:hyperlink>
      <w:r w:rsidRPr="00E6559E">
        <w:rPr>
          <w:rFonts w:ascii="Times New Roman" w:eastAsia="Times New Roman" w:hAnsi="Times New Roman" w:cs="Times New Roman"/>
          <w:color w:val="252525"/>
          <w:lang w:val="en"/>
        </w:rPr>
        <w:t>, </w:t>
      </w:r>
      <w:hyperlink r:id="rId11" w:tooltip="Automatic firearm" w:history="1">
        <w:r w:rsidRPr="00E6559E">
          <w:rPr>
            <w:rFonts w:ascii="Times New Roman" w:eastAsia="Times New Roman" w:hAnsi="Times New Roman" w:cs="Times New Roman"/>
            <w:color w:val="0B0080"/>
            <w:u w:val="single"/>
            <w:lang w:val="en"/>
          </w:rPr>
          <w:t>automatic firearms</w:t>
        </w:r>
      </w:hyperlink>
      <w:r w:rsidRPr="00E6559E">
        <w:rPr>
          <w:rFonts w:ascii="Times New Roman" w:eastAsia="Times New Roman" w:hAnsi="Times New Roman" w:cs="Times New Roman"/>
          <w:color w:val="252525"/>
          <w:lang w:val="en"/>
        </w:rPr>
        <w:t>, or high-capacity </w:t>
      </w:r>
      <w:hyperlink r:id="rId12" w:tooltip="Semi-automatic firearm" w:history="1">
        <w:r w:rsidRPr="00E6559E">
          <w:rPr>
            <w:rFonts w:ascii="Times New Roman" w:eastAsia="Times New Roman" w:hAnsi="Times New Roman" w:cs="Times New Roman"/>
            <w:color w:val="0B0080"/>
            <w:u w:val="single"/>
            <w:lang w:val="en"/>
          </w:rPr>
          <w:t>semi-automatic firearms</w:t>
        </w:r>
      </w:hyperlink>
      <w:r w:rsidRPr="00E6559E">
        <w:rPr>
          <w:rFonts w:ascii="Times New Roman" w:eastAsia="Times New Roman" w:hAnsi="Times New Roman" w:cs="Times New Roman"/>
          <w:color w:val="252525"/>
          <w:lang w:val="en"/>
        </w:rPr>
        <w:t>, as well as prohibited possession of unregistered </w:t>
      </w:r>
      <w:hyperlink r:id="rId13" w:tooltip="Firearm" w:history="1">
        <w:r w:rsidRPr="00E6559E">
          <w:rPr>
            <w:rFonts w:ascii="Times New Roman" w:eastAsia="Times New Roman" w:hAnsi="Times New Roman" w:cs="Times New Roman"/>
            <w:color w:val="0B0080"/>
            <w:u w:val="single"/>
            <w:lang w:val="en"/>
          </w:rPr>
          <w:t>firearms</w:t>
        </w:r>
      </w:hyperlink>
      <w:r w:rsidRPr="00E6559E">
        <w:rPr>
          <w:rFonts w:ascii="Times New Roman" w:eastAsia="Times New Roman" w:hAnsi="Times New Roman" w:cs="Times New Roman"/>
          <w:color w:val="252525"/>
          <w:lang w:val="en"/>
        </w:rPr>
        <w:t>. Exceptions to the ban were allowed for </w:t>
      </w:r>
      <w:hyperlink r:id="rId14" w:tooltip="Police officer" w:history="1">
        <w:r w:rsidRPr="00E6559E">
          <w:rPr>
            <w:rFonts w:ascii="Times New Roman" w:eastAsia="Times New Roman" w:hAnsi="Times New Roman" w:cs="Times New Roman"/>
            <w:color w:val="0B0080"/>
            <w:u w:val="single"/>
            <w:lang w:val="en"/>
          </w:rPr>
          <w:t>police officers</w:t>
        </w:r>
      </w:hyperlink>
      <w:r w:rsidRPr="00E6559E">
        <w:rPr>
          <w:rFonts w:ascii="Times New Roman" w:eastAsia="Times New Roman" w:hAnsi="Times New Roman" w:cs="Times New Roman"/>
          <w:color w:val="252525"/>
          <w:lang w:val="en"/>
        </w:rPr>
        <w:t> and guns registered before 1976. The law also required firearms kept in the home to be "unloaded, disassembled, or bound by a </w:t>
      </w:r>
      <w:hyperlink r:id="rId15" w:tooltip="Trigger lock" w:history="1">
        <w:r w:rsidRPr="00E6559E">
          <w:rPr>
            <w:rFonts w:ascii="Times New Roman" w:eastAsia="Times New Roman" w:hAnsi="Times New Roman" w:cs="Times New Roman"/>
            <w:color w:val="0B0080"/>
            <w:u w:val="single"/>
            <w:lang w:val="en"/>
          </w:rPr>
          <w:t>trigger lock</w:t>
        </w:r>
      </w:hyperlink>
      <w:r w:rsidRPr="00E6559E">
        <w:rPr>
          <w:rFonts w:ascii="Times New Roman" w:eastAsia="Times New Roman" w:hAnsi="Times New Roman" w:cs="Times New Roman"/>
          <w:color w:val="252525"/>
          <w:lang w:val="en"/>
        </w:rPr>
        <w:t> or similar device";</w:t>
      </w:r>
      <w:hyperlink r:id="rId16" w:anchor="cite_note-2" w:history="1">
        <w:r w:rsidRPr="00E6559E">
          <w:rPr>
            <w:rFonts w:ascii="Times New Roman" w:eastAsia="Times New Roman" w:hAnsi="Times New Roman" w:cs="Times New Roman"/>
            <w:color w:val="0B0080"/>
            <w:u w:val="single"/>
            <w:vertAlign w:val="superscript"/>
            <w:lang w:val="en"/>
          </w:rPr>
          <w:t>[2]</w:t>
        </w:r>
      </w:hyperlink>
      <w:r w:rsidRPr="00E6559E">
        <w:rPr>
          <w:rFonts w:ascii="Times New Roman" w:eastAsia="Times New Roman" w:hAnsi="Times New Roman" w:cs="Times New Roman"/>
          <w:color w:val="252525"/>
          <w:lang w:val="en"/>
        </w:rPr>
        <w:t> this was deemed to be a prohibition on the use of firearms for self-defense in the home.</w:t>
      </w:r>
      <w:hyperlink r:id="rId17" w:anchor="cite_note-dc-circuit-opinion-3" w:history="1">
        <w:r w:rsidRPr="00E6559E">
          <w:rPr>
            <w:rFonts w:ascii="Times New Roman" w:eastAsia="Times New Roman" w:hAnsi="Times New Roman" w:cs="Times New Roman"/>
            <w:color w:val="0B0080"/>
            <w:u w:val="single"/>
            <w:vertAlign w:val="superscript"/>
            <w:lang w:val="en"/>
          </w:rPr>
          <w:t>[3]</w:t>
        </w:r>
      </w:hyperlink>
      <w:r w:rsidRPr="00E6559E">
        <w:rPr>
          <w:rFonts w:ascii="Times New Roman" w:eastAsia="Times New Roman" w:hAnsi="Times New Roman" w:cs="Times New Roman"/>
          <w:color w:val="252525"/>
          <w:lang w:val="en"/>
        </w:rPr>
        <w:t> On June 26, 2008, in the historic case of </w:t>
      </w:r>
      <w:hyperlink r:id="rId18" w:tooltip="District of Columbia v. Heller" w:history="1">
        <w:r w:rsidRPr="00E6559E">
          <w:rPr>
            <w:rFonts w:ascii="Times New Roman" w:eastAsia="Times New Roman" w:hAnsi="Times New Roman" w:cs="Times New Roman"/>
            <w:i/>
            <w:iCs/>
            <w:color w:val="0B0080"/>
            <w:u w:val="single"/>
            <w:lang w:val="en"/>
          </w:rPr>
          <w:t>District of Columbia v. Heller</w:t>
        </w:r>
      </w:hyperlink>
      <w:r w:rsidRPr="00E6559E">
        <w:rPr>
          <w:rFonts w:ascii="Times New Roman" w:eastAsia="Times New Roman" w:hAnsi="Times New Roman" w:cs="Times New Roman"/>
          <w:color w:val="252525"/>
          <w:lang w:val="en"/>
        </w:rPr>
        <w:t>, the </w:t>
      </w:r>
      <w:hyperlink r:id="rId19" w:tooltip="Supreme Court of the United States" w:history="1">
        <w:r w:rsidRPr="00E6559E">
          <w:rPr>
            <w:rFonts w:ascii="Times New Roman" w:eastAsia="Times New Roman" w:hAnsi="Times New Roman" w:cs="Times New Roman"/>
            <w:color w:val="0B0080"/>
            <w:u w:val="single"/>
            <w:lang w:val="en"/>
          </w:rPr>
          <w:t>Supreme Court of the United States</w:t>
        </w:r>
      </w:hyperlink>
      <w:r w:rsidRPr="00E6559E">
        <w:rPr>
          <w:rFonts w:ascii="Times New Roman" w:eastAsia="Times New Roman" w:hAnsi="Times New Roman" w:cs="Times New Roman"/>
          <w:color w:val="252525"/>
          <w:lang w:val="en"/>
        </w:rPr>
        <w:t> determined that the ban and trigger lock provision violate the </w:t>
      </w:r>
      <w:hyperlink r:id="rId20" w:tooltip="Second Amendment to the United States Constitution" w:history="1">
        <w:r w:rsidRPr="00E6559E">
          <w:rPr>
            <w:rFonts w:ascii="Times New Roman" w:eastAsia="Times New Roman" w:hAnsi="Times New Roman" w:cs="Times New Roman"/>
            <w:color w:val="0B0080"/>
            <w:u w:val="single"/>
            <w:lang w:val="en"/>
          </w:rPr>
          <w:t>Second Amendment</w:t>
        </w:r>
      </w:hyperlink>
      <w:r w:rsidRPr="00E6559E">
        <w:rPr>
          <w:rFonts w:ascii="Times New Roman" w:eastAsia="Times New Roman" w:hAnsi="Times New Roman" w:cs="Times New Roman"/>
          <w:color w:val="252525"/>
          <w:lang w:val="en"/>
        </w:rPr>
        <w:t>.</w:t>
      </w:r>
    </w:p>
    <w:p w:rsidR="00E6559E" w:rsidRPr="00E6559E" w:rsidRDefault="00E6559E" w:rsidP="00E6559E">
      <w:pPr>
        <w:pBdr>
          <w:bottom w:val="single" w:sz="6" w:space="0" w:color="AAAAAA"/>
        </w:pBdr>
        <w:spacing w:before="240" w:after="60" w:line="240" w:lineRule="auto"/>
        <w:outlineLvl w:val="1"/>
        <w:rPr>
          <w:rFonts w:ascii="Times New Roman" w:eastAsia="Times New Roman" w:hAnsi="Times New Roman" w:cs="Times New Roman"/>
          <w:color w:val="000000"/>
          <w:lang w:val="en"/>
        </w:rPr>
      </w:pPr>
      <w:proofErr w:type="gramStart"/>
      <w:r w:rsidRPr="00E6559E">
        <w:rPr>
          <w:rFonts w:ascii="Times New Roman" w:eastAsia="Times New Roman" w:hAnsi="Times New Roman" w:cs="Times New Roman"/>
          <w:color w:val="000000"/>
          <w:lang w:val="en"/>
        </w:rPr>
        <w:t>Constitutionality</w:t>
      </w:r>
      <w:r w:rsidRPr="00E6559E">
        <w:rPr>
          <w:rFonts w:ascii="Times New Roman" w:eastAsia="Times New Roman" w:hAnsi="Times New Roman" w:cs="Times New Roman"/>
          <w:color w:val="555555"/>
          <w:lang w:val="en"/>
        </w:rPr>
        <w:t>[</w:t>
      </w:r>
      <w:proofErr w:type="gramEnd"/>
      <w:r w:rsidRPr="00E6559E">
        <w:rPr>
          <w:rFonts w:ascii="Times New Roman" w:eastAsia="Times New Roman" w:hAnsi="Times New Roman" w:cs="Times New Roman"/>
          <w:color w:val="000000"/>
          <w:lang w:val="en"/>
        </w:rPr>
        <w:fldChar w:fldCharType="begin"/>
      </w:r>
      <w:r w:rsidRPr="00E6559E">
        <w:rPr>
          <w:rFonts w:ascii="Times New Roman" w:eastAsia="Times New Roman" w:hAnsi="Times New Roman" w:cs="Times New Roman"/>
          <w:color w:val="000000"/>
          <w:lang w:val="en"/>
        </w:rPr>
        <w:instrText xml:space="preserve"> HYPERLINK "https://en.wikipedia.org/w/index.php?title=Firearms_Control_Regulations_Act_of_1975&amp;action=edit&amp;section=1" \o "Edit section: Constitutionality" </w:instrText>
      </w:r>
      <w:r w:rsidRPr="00E6559E">
        <w:rPr>
          <w:rFonts w:ascii="Times New Roman" w:eastAsia="Times New Roman" w:hAnsi="Times New Roman" w:cs="Times New Roman"/>
          <w:color w:val="000000"/>
          <w:lang w:val="en"/>
        </w:rPr>
        <w:fldChar w:fldCharType="separate"/>
      </w:r>
      <w:r w:rsidRPr="00E6559E">
        <w:rPr>
          <w:rFonts w:ascii="Times New Roman" w:eastAsia="Times New Roman" w:hAnsi="Times New Roman" w:cs="Times New Roman"/>
          <w:color w:val="0B0080"/>
          <w:u w:val="single"/>
          <w:lang w:val="en"/>
        </w:rPr>
        <w:t>edit</w:t>
      </w:r>
      <w:r w:rsidRPr="00E6559E">
        <w:rPr>
          <w:rFonts w:ascii="Times New Roman" w:eastAsia="Times New Roman" w:hAnsi="Times New Roman" w:cs="Times New Roman"/>
          <w:color w:val="000000"/>
          <w:lang w:val="en"/>
        </w:rPr>
        <w:fldChar w:fldCharType="end"/>
      </w:r>
      <w:r w:rsidRPr="00E6559E">
        <w:rPr>
          <w:rFonts w:ascii="Times New Roman" w:eastAsia="Times New Roman" w:hAnsi="Times New Roman" w:cs="Times New Roman"/>
          <w:color w:val="555555"/>
          <w:lang w:val="en"/>
        </w:rPr>
        <w:t>]</w:t>
      </w:r>
    </w:p>
    <w:p w:rsidR="00E6559E" w:rsidRPr="00E6559E" w:rsidRDefault="00E6559E" w:rsidP="00E6559E">
      <w:pPr>
        <w:spacing w:before="120" w:after="120" w:line="240" w:lineRule="auto"/>
        <w:rPr>
          <w:rFonts w:ascii="Times New Roman" w:eastAsia="Times New Roman" w:hAnsi="Times New Roman" w:cs="Times New Roman"/>
          <w:color w:val="252525"/>
          <w:lang w:val="en"/>
        </w:rPr>
      </w:pPr>
      <w:hyperlink r:id="rId21" w:tooltip="Washington, D.C." w:history="1">
        <w:r w:rsidRPr="00E6559E">
          <w:rPr>
            <w:rFonts w:ascii="Times New Roman" w:eastAsia="Times New Roman" w:hAnsi="Times New Roman" w:cs="Times New Roman"/>
            <w:color w:val="0B0080"/>
            <w:u w:val="single"/>
            <w:lang w:val="en"/>
          </w:rPr>
          <w:t>Washington, D.C.</w:t>
        </w:r>
      </w:hyperlink>
      <w:r w:rsidRPr="00E6559E">
        <w:rPr>
          <w:rFonts w:ascii="Times New Roman" w:eastAsia="Times New Roman" w:hAnsi="Times New Roman" w:cs="Times New Roman"/>
          <w:color w:val="252525"/>
          <w:lang w:val="en"/>
        </w:rPr>
        <w:t>'s gun laws are considered by many to be the strictest in the </w:t>
      </w:r>
      <w:hyperlink r:id="rId22" w:tooltip="United States" w:history="1">
        <w:r w:rsidRPr="00E6559E">
          <w:rPr>
            <w:rFonts w:ascii="Times New Roman" w:eastAsia="Times New Roman" w:hAnsi="Times New Roman" w:cs="Times New Roman"/>
            <w:color w:val="0B0080"/>
            <w:u w:val="single"/>
            <w:lang w:val="en"/>
          </w:rPr>
          <w:t>United States</w:t>
        </w:r>
      </w:hyperlink>
      <w:r w:rsidRPr="00E6559E">
        <w:rPr>
          <w:rFonts w:ascii="Times New Roman" w:eastAsia="Times New Roman" w:hAnsi="Times New Roman" w:cs="Times New Roman"/>
          <w:color w:val="252525"/>
          <w:lang w:val="en"/>
        </w:rPr>
        <w:t>, and have been challenged as infringing on </w:t>
      </w:r>
      <w:hyperlink r:id="rId23" w:tooltip="Constitutionality" w:history="1">
        <w:r w:rsidRPr="00E6559E">
          <w:rPr>
            <w:rFonts w:ascii="Times New Roman" w:eastAsia="Times New Roman" w:hAnsi="Times New Roman" w:cs="Times New Roman"/>
            <w:color w:val="0B0080"/>
            <w:u w:val="single"/>
            <w:lang w:val="en"/>
          </w:rPr>
          <w:t>constitutional</w:t>
        </w:r>
      </w:hyperlink>
      <w:r w:rsidRPr="00E6559E">
        <w:rPr>
          <w:rFonts w:ascii="Times New Roman" w:eastAsia="Times New Roman" w:hAnsi="Times New Roman" w:cs="Times New Roman"/>
          <w:color w:val="252525"/>
          <w:lang w:val="en"/>
        </w:rPr>
        <w:t> rights protected by the </w:t>
      </w:r>
      <w:hyperlink r:id="rId24" w:tooltip="United States Constitution" w:history="1">
        <w:r w:rsidRPr="00E6559E">
          <w:rPr>
            <w:rFonts w:ascii="Times New Roman" w:eastAsia="Times New Roman" w:hAnsi="Times New Roman" w:cs="Times New Roman"/>
            <w:color w:val="0B0080"/>
            <w:u w:val="single"/>
            <w:lang w:val="en"/>
          </w:rPr>
          <w:t>United States Constitution</w:t>
        </w:r>
      </w:hyperlink>
      <w:r w:rsidRPr="00E6559E">
        <w:rPr>
          <w:rFonts w:ascii="Times New Roman" w:eastAsia="Times New Roman" w:hAnsi="Times New Roman" w:cs="Times New Roman"/>
          <w:color w:val="252525"/>
          <w:lang w:val="en"/>
        </w:rPr>
        <w:t>'s </w:t>
      </w:r>
      <w:hyperlink r:id="rId25" w:tooltip="Second Amendment to the United States Constitution" w:history="1">
        <w:r w:rsidRPr="00E6559E">
          <w:rPr>
            <w:rFonts w:ascii="Times New Roman" w:eastAsia="Times New Roman" w:hAnsi="Times New Roman" w:cs="Times New Roman"/>
            <w:color w:val="0B0080"/>
            <w:u w:val="single"/>
            <w:lang w:val="en"/>
          </w:rPr>
          <w:t>Second Amendment</w:t>
        </w:r>
      </w:hyperlink>
      <w:r w:rsidRPr="00E6559E">
        <w:rPr>
          <w:rFonts w:ascii="Times New Roman" w:eastAsia="Times New Roman" w:hAnsi="Times New Roman" w:cs="Times New Roman"/>
          <w:color w:val="252525"/>
          <w:lang w:val="en"/>
        </w:rPr>
        <w:t>.</w:t>
      </w:r>
      <w:hyperlink r:id="rId26" w:anchor="cite_note-4" w:history="1">
        <w:r w:rsidRPr="00E6559E">
          <w:rPr>
            <w:rFonts w:ascii="Times New Roman" w:eastAsia="Times New Roman" w:hAnsi="Times New Roman" w:cs="Times New Roman"/>
            <w:color w:val="0B0080"/>
            <w:u w:val="single"/>
            <w:vertAlign w:val="superscript"/>
            <w:lang w:val="en"/>
          </w:rPr>
          <w:t>[4]</w:t>
        </w:r>
      </w:hyperlink>
      <w:hyperlink r:id="rId27" w:anchor="cite_note-5" w:history="1">
        <w:r w:rsidRPr="00E6559E">
          <w:rPr>
            <w:rFonts w:ascii="Times New Roman" w:eastAsia="Times New Roman" w:hAnsi="Times New Roman" w:cs="Times New Roman"/>
            <w:color w:val="0B0080"/>
            <w:u w:val="single"/>
            <w:vertAlign w:val="superscript"/>
            <w:lang w:val="en"/>
          </w:rPr>
          <w:t>[5]</w:t>
        </w:r>
      </w:hyperlink>
      <w:hyperlink r:id="rId28" w:anchor="cite_note-6" w:history="1">
        <w:r w:rsidRPr="00E6559E">
          <w:rPr>
            <w:rFonts w:ascii="Times New Roman" w:eastAsia="Times New Roman" w:hAnsi="Times New Roman" w:cs="Times New Roman"/>
            <w:color w:val="0B0080"/>
            <w:u w:val="single"/>
            <w:vertAlign w:val="superscript"/>
            <w:lang w:val="en"/>
          </w:rPr>
          <w:t>[6]</w:t>
        </w:r>
      </w:hyperlink>
      <w:hyperlink r:id="rId29" w:anchor="cite_note-7" w:history="1">
        <w:r w:rsidRPr="00E6559E">
          <w:rPr>
            <w:rFonts w:ascii="Times New Roman" w:eastAsia="Times New Roman" w:hAnsi="Times New Roman" w:cs="Times New Roman"/>
            <w:color w:val="0B0080"/>
            <w:u w:val="single"/>
            <w:vertAlign w:val="superscript"/>
            <w:lang w:val="en"/>
          </w:rPr>
          <w:t>[7]</w:t>
        </w:r>
      </w:hyperlink>
      <w:r w:rsidRPr="00E6559E">
        <w:rPr>
          <w:rFonts w:ascii="Times New Roman" w:eastAsia="Times New Roman" w:hAnsi="Times New Roman" w:cs="Times New Roman"/>
          <w:color w:val="252525"/>
          <w:lang w:val="en"/>
        </w:rPr>
        <w:t> On March 9, 2007, portions of the law were declared unconstitutional by a three-judge panel of the </w:t>
      </w:r>
      <w:hyperlink r:id="rId30" w:tooltip="United States Court of Appeals" w:history="1">
        <w:r w:rsidRPr="00E6559E">
          <w:rPr>
            <w:rFonts w:ascii="Times New Roman" w:eastAsia="Times New Roman" w:hAnsi="Times New Roman" w:cs="Times New Roman"/>
            <w:color w:val="0B0080"/>
            <w:u w:val="single"/>
            <w:lang w:val="en"/>
          </w:rPr>
          <w:t>United States Court of Appeals</w:t>
        </w:r>
      </w:hyperlink>
      <w:r w:rsidRPr="00E6559E">
        <w:rPr>
          <w:rFonts w:ascii="Times New Roman" w:eastAsia="Times New Roman" w:hAnsi="Times New Roman" w:cs="Times New Roman"/>
          <w:color w:val="252525"/>
          <w:lang w:val="en"/>
        </w:rPr>
        <w:t>, in a 2-1 ruling in the case </w:t>
      </w:r>
      <w:hyperlink r:id="rId31" w:tooltip="District of Columbia v. Heller" w:history="1">
        <w:r w:rsidRPr="00E6559E">
          <w:rPr>
            <w:rFonts w:ascii="Times New Roman" w:eastAsia="Times New Roman" w:hAnsi="Times New Roman" w:cs="Times New Roman"/>
            <w:color w:val="0B0080"/>
            <w:u w:val="single"/>
            <w:lang w:val="en"/>
          </w:rPr>
          <w:t>District of Columbia v. Heller</w:t>
        </w:r>
      </w:hyperlink>
      <w:r w:rsidRPr="00E6559E">
        <w:rPr>
          <w:rFonts w:ascii="Times New Roman" w:eastAsia="Times New Roman" w:hAnsi="Times New Roman" w:cs="Times New Roman"/>
          <w:color w:val="252525"/>
          <w:lang w:val="en"/>
        </w:rPr>
        <w:t>.</w:t>
      </w:r>
      <w:hyperlink r:id="rId32" w:anchor="cite_note-8" w:history="1">
        <w:r w:rsidRPr="00E6559E">
          <w:rPr>
            <w:rFonts w:ascii="Times New Roman" w:eastAsia="Times New Roman" w:hAnsi="Times New Roman" w:cs="Times New Roman"/>
            <w:color w:val="0B0080"/>
            <w:u w:val="single"/>
            <w:vertAlign w:val="superscript"/>
            <w:lang w:val="en"/>
          </w:rPr>
          <w:t>[8]</w:t>
        </w:r>
      </w:hyperlink>
      <w:r w:rsidRPr="00E6559E">
        <w:rPr>
          <w:rFonts w:ascii="Times New Roman" w:eastAsia="Times New Roman" w:hAnsi="Times New Roman" w:cs="Times New Roman"/>
          <w:color w:val="252525"/>
          <w:lang w:val="en"/>
        </w:rPr>
        <w:t> The District subsequently applied for a rehearing </w:t>
      </w:r>
      <w:proofErr w:type="spellStart"/>
      <w:r w:rsidRPr="00E6559E">
        <w:rPr>
          <w:rFonts w:ascii="Times New Roman" w:eastAsia="Times New Roman" w:hAnsi="Times New Roman" w:cs="Times New Roman"/>
          <w:color w:val="252525"/>
          <w:lang w:val="en"/>
        </w:rPr>
        <w:fldChar w:fldCharType="begin"/>
      </w:r>
      <w:r w:rsidRPr="00E6559E">
        <w:rPr>
          <w:rFonts w:ascii="Times New Roman" w:eastAsia="Times New Roman" w:hAnsi="Times New Roman" w:cs="Times New Roman"/>
          <w:color w:val="252525"/>
          <w:lang w:val="en"/>
        </w:rPr>
        <w:instrText xml:space="preserve"> HYPERLINK "https://en.wikipedia.org/wiki/En_banc" \o "En banc" </w:instrText>
      </w:r>
      <w:r w:rsidRPr="00E6559E">
        <w:rPr>
          <w:rFonts w:ascii="Times New Roman" w:eastAsia="Times New Roman" w:hAnsi="Times New Roman" w:cs="Times New Roman"/>
          <w:color w:val="252525"/>
          <w:lang w:val="en"/>
        </w:rPr>
        <w:fldChar w:fldCharType="separate"/>
      </w:r>
      <w:r w:rsidRPr="00E6559E">
        <w:rPr>
          <w:rFonts w:ascii="Times New Roman" w:eastAsia="Times New Roman" w:hAnsi="Times New Roman" w:cs="Times New Roman"/>
          <w:color w:val="0B0080"/>
          <w:u w:val="single"/>
          <w:lang w:val="en"/>
        </w:rPr>
        <w:t>en</w:t>
      </w:r>
      <w:proofErr w:type="spellEnd"/>
      <w:r w:rsidRPr="00E6559E">
        <w:rPr>
          <w:rFonts w:ascii="Times New Roman" w:eastAsia="Times New Roman" w:hAnsi="Times New Roman" w:cs="Times New Roman"/>
          <w:color w:val="0B0080"/>
          <w:u w:val="single"/>
          <w:lang w:val="en"/>
        </w:rPr>
        <w:t xml:space="preserve"> banc</w:t>
      </w:r>
      <w:r w:rsidRPr="00E6559E">
        <w:rPr>
          <w:rFonts w:ascii="Times New Roman" w:eastAsia="Times New Roman" w:hAnsi="Times New Roman" w:cs="Times New Roman"/>
          <w:color w:val="252525"/>
          <w:lang w:val="en"/>
        </w:rPr>
        <w:fldChar w:fldCharType="end"/>
      </w:r>
      <w:r w:rsidRPr="00E6559E">
        <w:rPr>
          <w:rFonts w:ascii="Times New Roman" w:eastAsia="Times New Roman" w:hAnsi="Times New Roman" w:cs="Times New Roman"/>
          <w:color w:val="252525"/>
          <w:lang w:val="en"/>
        </w:rPr>
        <w:t>, which was denied, and appealed the decision to the </w:t>
      </w:r>
      <w:hyperlink r:id="rId33" w:tooltip="Supreme Court of the United States" w:history="1">
        <w:r w:rsidRPr="00E6559E">
          <w:rPr>
            <w:rFonts w:ascii="Times New Roman" w:eastAsia="Times New Roman" w:hAnsi="Times New Roman" w:cs="Times New Roman"/>
            <w:color w:val="0B0080"/>
            <w:u w:val="single"/>
            <w:lang w:val="en"/>
          </w:rPr>
          <w:t>Supreme Court of the United States</w:t>
        </w:r>
      </w:hyperlink>
      <w:r w:rsidRPr="00E6559E">
        <w:rPr>
          <w:rFonts w:ascii="Times New Roman" w:eastAsia="Times New Roman" w:hAnsi="Times New Roman" w:cs="Times New Roman"/>
          <w:color w:val="252525"/>
          <w:lang w:val="en"/>
        </w:rPr>
        <w:t>. On June 26, 2008, the Court determined that the ban and trigger lock provision violate the Second Amendment.</w:t>
      </w:r>
      <w:hyperlink r:id="rId34" w:anchor="cite_note-9" w:history="1">
        <w:r w:rsidRPr="00E6559E">
          <w:rPr>
            <w:rFonts w:ascii="Times New Roman" w:eastAsia="Times New Roman" w:hAnsi="Times New Roman" w:cs="Times New Roman"/>
            <w:color w:val="0B0080"/>
            <w:u w:val="single"/>
            <w:vertAlign w:val="superscript"/>
            <w:lang w:val="en"/>
          </w:rPr>
          <w:t>[9]</w:t>
        </w:r>
      </w:hyperlink>
      <w:r w:rsidRPr="00E6559E">
        <w:rPr>
          <w:rFonts w:ascii="Times New Roman" w:eastAsia="Times New Roman" w:hAnsi="Times New Roman" w:cs="Times New Roman"/>
          <w:color w:val="252525"/>
          <w:lang w:val="en"/>
        </w:rPr>
        <w:t> However, the ruling does not prohibit all forms of </w:t>
      </w:r>
      <w:hyperlink r:id="rId35" w:tooltip="Gun politics" w:history="1">
        <w:r w:rsidRPr="00E6559E">
          <w:rPr>
            <w:rFonts w:ascii="Times New Roman" w:eastAsia="Times New Roman" w:hAnsi="Times New Roman" w:cs="Times New Roman"/>
            <w:color w:val="0B0080"/>
            <w:u w:val="single"/>
            <w:lang w:val="en"/>
          </w:rPr>
          <w:t>gun control</w:t>
        </w:r>
      </w:hyperlink>
      <w:r w:rsidRPr="00E6559E">
        <w:rPr>
          <w:rFonts w:ascii="Times New Roman" w:eastAsia="Times New Roman" w:hAnsi="Times New Roman" w:cs="Times New Roman"/>
          <w:color w:val="252525"/>
          <w:lang w:val="en"/>
        </w:rPr>
        <w:t>; laws requiring firearm registration remain in place as does the city's </w:t>
      </w:r>
      <w:hyperlink r:id="rId36" w:tooltip="Assault weapon" w:history="1">
        <w:r w:rsidRPr="00E6559E">
          <w:rPr>
            <w:rFonts w:ascii="Times New Roman" w:eastAsia="Times New Roman" w:hAnsi="Times New Roman" w:cs="Times New Roman"/>
            <w:color w:val="0B0080"/>
            <w:u w:val="single"/>
            <w:lang w:val="en"/>
          </w:rPr>
          <w:t>assault weapon</w:t>
        </w:r>
      </w:hyperlink>
      <w:r w:rsidRPr="00E6559E">
        <w:rPr>
          <w:rFonts w:ascii="Times New Roman" w:eastAsia="Times New Roman" w:hAnsi="Times New Roman" w:cs="Times New Roman"/>
          <w:color w:val="252525"/>
          <w:lang w:val="en"/>
        </w:rPr>
        <w:t> ban.</w:t>
      </w:r>
      <w:hyperlink r:id="rId37" w:anchor="cite_note-10" w:history="1">
        <w:r w:rsidRPr="00E6559E">
          <w:rPr>
            <w:rFonts w:ascii="Times New Roman" w:eastAsia="Times New Roman" w:hAnsi="Times New Roman" w:cs="Times New Roman"/>
            <w:color w:val="0B0080"/>
            <w:u w:val="single"/>
            <w:vertAlign w:val="superscript"/>
            <w:lang w:val="en"/>
          </w:rPr>
          <w:t>[10]</w:t>
        </w:r>
      </w:hyperlink>
    </w:p>
    <w:p w:rsidR="0090434C" w:rsidRDefault="0090434C" w:rsidP="006056B7">
      <w:pPr>
        <w:spacing w:after="0"/>
        <w:rPr>
          <w:rFonts w:ascii="Times New Roman" w:hAnsi="Times New Roman" w:cs="Times New Roman"/>
        </w:rPr>
      </w:pPr>
    </w:p>
    <w:p w:rsidR="004C1D32" w:rsidRDefault="004C1D32" w:rsidP="006056B7">
      <w:pPr>
        <w:spacing w:after="0"/>
        <w:rPr>
          <w:rFonts w:ascii="Times New Roman" w:hAnsi="Times New Roman" w:cs="Times New Roman"/>
        </w:rPr>
      </w:pPr>
    </w:p>
    <w:p w:rsidR="004C1D32" w:rsidRDefault="004C1D32" w:rsidP="006056B7">
      <w:pPr>
        <w:spacing w:after="0"/>
        <w:rPr>
          <w:rFonts w:ascii="Times New Roman" w:hAnsi="Times New Roman" w:cs="Times New Roman"/>
        </w:rPr>
      </w:pPr>
    </w:p>
    <w:p w:rsidR="004C1D32" w:rsidRDefault="004C1D32" w:rsidP="006056B7">
      <w:pPr>
        <w:spacing w:after="0"/>
        <w:rPr>
          <w:rFonts w:ascii="Times New Roman" w:hAnsi="Times New Roman" w:cs="Times New Roman"/>
        </w:rPr>
      </w:pPr>
    </w:p>
    <w:p w:rsidR="004C1D32" w:rsidRDefault="004C1D32" w:rsidP="006056B7">
      <w:pPr>
        <w:spacing w:after="0"/>
        <w:rPr>
          <w:rFonts w:ascii="Times New Roman" w:hAnsi="Times New Roman" w:cs="Times New Roman"/>
        </w:rPr>
      </w:pPr>
    </w:p>
    <w:p w:rsidR="004C1D32" w:rsidRDefault="004C1D32" w:rsidP="006056B7">
      <w:pPr>
        <w:spacing w:after="0"/>
        <w:rPr>
          <w:rFonts w:ascii="Times New Roman" w:hAnsi="Times New Roman" w:cs="Times New Roman"/>
        </w:rPr>
      </w:pPr>
    </w:p>
    <w:p w:rsidR="004C1D32" w:rsidRDefault="004C1D32" w:rsidP="006056B7">
      <w:pPr>
        <w:spacing w:after="0"/>
        <w:rPr>
          <w:rFonts w:ascii="Times New Roman" w:hAnsi="Times New Roman" w:cs="Times New Roman"/>
        </w:rPr>
      </w:pPr>
    </w:p>
    <w:p w:rsidR="004C1D32" w:rsidRDefault="004C1D32" w:rsidP="006056B7">
      <w:pPr>
        <w:spacing w:after="0"/>
        <w:rPr>
          <w:rFonts w:ascii="Times New Roman" w:hAnsi="Times New Roman" w:cs="Times New Roman"/>
        </w:rPr>
      </w:pPr>
    </w:p>
    <w:p w:rsidR="004C1D32" w:rsidRDefault="004C1D32" w:rsidP="006056B7">
      <w:pPr>
        <w:spacing w:after="0"/>
        <w:rPr>
          <w:rFonts w:ascii="Times New Roman" w:hAnsi="Times New Roman" w:cs="Times New Roman"/>
        </w:rPr>
      </w:pPr>
    </w:p>
    <w:p w:rsidR="004C1D32" w:rsidRDefault="004C1D32" w:rsidP="006056B7">
      <w:pPr>
        <w:spacing w:after="0"/>
        <w:rPr>
          <w:rFonts w:ascii="Times New Roman" w:hAnsi="Times New Roman" w:cs="Times New Roman"/>
        </w:rPr>
      </w:pPr>
    </w:p>
    <w:p w:rsidR="004C1D32" w:rsidRDefault="004C1D32" w:rsidP="006056B7">
      <w:pPr>
        <w:spacing w:after="0"/>
        <w:rPr>
          <w:rFonts w:ascii="Times New Roman" w:hAnsi="Times New Roman" w:cs="Times New Roman"/>
        </w:rPr>
      </w:pPr>
    </w:p>
    <w:p w:rsidR="004C1D32" w:rsidRDefault="004C1D32" w:rsidP="006056B7">
      <w:pPr>
        <w:spacing w:after="0"/>
        <w:rPr>
          <w:rFonts w:ascii="Times New Roman" w:hAnsi="Times New Roman" w:cs="Times New Roman"/>
        </w:rPr>
      </w:pPr>
    </w:p>
    <w:p w:rsidR="004C1D32" w:rsidRDefault="004C1D32" w:rsidP="006056B7">
      <w:pPr>
        <w:spacing w:after="0"/>
        <w:rPr>
          <w:rFonts w:ascii="Times New Roman" w:hAnsi="Times New Roman" w:cs="Times New Roman"/>
        </w:rPr>
      </w:pPr>
    </w:p>
    <w:p w:rsidR="004C1D32" w:rsidRDefault="004C1D32" w:rsidP="006056B7">
      <w:pPr>
        <w:spacing w:after="0"/>
        <w:rPr>
          <w:rFonts w:ascii="Times New Roman" w:hAnsi="Times New Roman" w:cs="Times New Roman"/>
        </w:rPr>
      </w:pPr>
    </w:p>
    <w:p w:rsidR="004C1D32" w:rsidRDefault="004C1D32" w:rsidP="006056B7">
      <w:pPr>
        <w:spacing w:after="0"/>
        <w:rPr>
          <w:rFonts w:ascii="Times New Roman" w:hAnsi="Times New Roman" w:cs="Times New Roman"/>
        </w:rPr>
      </w:pPr>
    </w:p>
    <w:p w:rsidR="004C1D32" w:rsidRDefault="004C1D32" w:rsidP="006056B7">
      <w:pPr>
        <w:spacing w:after="0"/>
        <w:rPr>
          <w:rFonts w:ascii="Times New Roman" w:hAnsi="Times New Roman" w:cs="Times New Roman"/>
        </w:rPr>
      </w:pPr>
    </w:p>
    <w:p w:rsidR="004C1D32" w:rsidRDefault="004C1D32" w:rsidP="006056B7">
      <w:pPr>
        <w:spacing w:after="0"/>
        <w:rPr>
          <w:rFonts w:ascii="Times New Roman" w:hAnsi="Times New Roman" w:cs="Times New Roman"/>
        </w:rPr>
      </w:pPr>
    </w:p>
    <w:p w:rsidR="004C1D32" w:rsidRDefault="004C1D32" w:rsidP="006056B7">
      <w:pPr>
        <w:spacing w:after="0"/>
        <w:rPr>
          <w:rFonts w:ascii="Times New Roman" w:hAnsi="Times New Roman" w:cs="Times New Roman"/>
        </w:rPr>
      </w:pPr>
    </w:p>
    <w:p w:rsidR="004C1D32" w:rsidRDefault="004C1D32" w:rsidP="006056B7">
      <w:pPr>
        <w:spacing w:after="0"/>
        <w:rPr>
          <w:rFonts w:ascii="Times New Roman" w:hAnsi="Times New Roman" w:cs="Times New Roman"/>
        </w:rPr>
      </w:pPr>
    </w:p>
    <w:p w:rsidR="004C1D32" w:rsidRDefault="004C1D32" w:rsidP="006056B7">
      <w:pPr>
        <w:spacing w:after="0"/>
        <w:rPr>
          <w:rFonts w:ascii="Times New Roman" w:hAnsi="Times New Roman" w:cs="Times New Roman"/>
        </w:rPr>
      </w:pPr>
    </w:p>
    <w:p w:rsidR="004C1D32" w:rsidRDefault="004C1D32" w:rsidP="006056B7">
      <w:pPr>
        <w:spacing w:after="0"/>
        <w:rPr>
          <w:rFonts w:ascii="Times New Roman" w:hAnsi="Times New Roman" w:cs="Times New Roman"/>
        </w:rPr>
      </w:pPr>
    </w:p>
    <w:p w:rsidR="004C1D32" w:rsidRDefault="004C1D32" w:rsidP="006056B7">
      <w:pPr>
        <w:spacing w:after="0"/>
        <w:rPr>
          <w:rFonts w:ascii="Times New Roman" w:hAnsi="Times New Roman" w:cs="Times New Roman"/>
        </w:rPr>
      </w:pPr>
    </w:p>
    <w:p w:rsidR="004C1D32" w:rsidRDefault="004C1D32" w:rsidP="006056B7">
      <w:pPr>
        <w:spacing w:after="0"/>
        <w:rPr>
          <w:rFonts w:ascii="Times New Roman" w:hAnsi="Times New Roman" w:cs="Times New Roman"/>
        </w:rPr>
      </w:pPr>
    </w:p>
    <w:p w:rsidR="004C1D32" w:rsidRDefault="004C1D32" w:rsidP="006056B7">
      <w:pPr>
        <w:spacing w:after="0"/>
        <w:rPr>
          <w:rFonts w:ascii="Times New Roman" w:hAnsi="Times New Roman" w:cs="Times New Roman"/>
        </w:rPr>
      </w:pPr>
    </w:p>
    <w:p w:rsidR="004C1D32" w:rsidRDefault="004C1D32" w:rsidP="006056B7">
      <w:pPr>
        <w:spacing w:after="0"/>
        <w:rPr>
          <w:rFonts w:ascii="Times New Roman" w:hAnsi="Times New Roman" w:cs="Times New Roman"/>
        </w:rPr>
      </w:pPr>
    </w:p>
    <w:p w:rsidR="004C1D32" w:rsidRDefault="004C1D32" w:rsidP="006056B7">
      <w:pPr>
        <w:spacing w:after="0"/>
        <w:rPr>
          <w:rFonts w:ascii="Times New Roman" w:hAnsi="Times New Roman" w:cs="Times New Roman"/>
        </w:rPr>
      </w:pPr>
    </w:p>
    <w:p w:rsidR="006923FA" w:rsidRPr="006923FA" w:rsidRDefault="006923FA" w:rsidP="006923FA">
      <w:pPr>
        <w:spacing w:after="0" w:line="276" w:lineRule="auto"/>
        <w:rPr>
          <w:rFonts w:ascii="Times New Roman" w:hAnsi="Times New Roman" w:cs="Times New Roman"/>
          <w:b/>
          <w:sz w:val="24"/>
        </w:rPr>
      </w:pPr>
      <w:r w:rsidRPr="006923FA">
        <w:rPr>
          <w:rFonts w:ascii="Times New Roman" w:hAnsi="Times New Roman" w:cs="Times New Roman"/>
          <w:b/>
          <w:sz w:val="24"/>
        </w:rPr>
        <w:lastRenderedPageBreak/>
        <w:t>NRA v. BATFE</w:t>
      </w:r>
      <w:r>
        <w:rPr>
          <w:rFonts w:ascii="Times New Roman" w:hAnsi="Times New Roman" w:cs="Times New Roman"/>
          <w:b/>
          <w:sz w:val="24"/>
        </w:rPr>
        <w:t xml:space="preserve"> (</w:t>
      </w:r>
      <w:r w:rsidRPr="006923FA">
        <w:rPr>
          <w:rFonts w:ascii="Times New Roman" w:hAnsi="Times New Roman" w:cs="Times New Roman"/>
          <w:color w:val="222222"/>
          <w:sz w:val="24"/>
          <w:szCs w:val="24"/>
          <w:shd w:val="clear" w:color="auto" w:fill="FFFFFF"/>
        </w:rPr>
        <w:t>Bureau of Alcohol, Tobacco, Firearms and Explosives</w:t>
      </w:r>
      <w:r>
        <w:rPr>
          <w:rFonts w:ascii="Times New Roman" w:hAnsi="Times New Roman" w:cs="Times New Roman"/>
          <w:b/>
          <w:color w:val="222222"/>
          <w:sz w:val="24"/>
          <w:szCs w:val="24"/>
          <w:shd w:val="clear" w:color="auto" w:fill="FFFFFF"/>
        </w:rPr>
        <w:t>)</w:t>
      </w:r>
    </w:p>
    <w:p w:rsidR="006923FA" w:rsidRPr="006923FA" w:rsidRDefault="006923FA" w:rsidP="006923FA">
      <w:pPr>
        <w:spacing w:after="0" w:line="276" w:lineRule="auto"/>
        <w:rPr>
          <w:rFonts w:ascii="Times New Roman" w:hAnsi="Times New Roman" w:cs="Times New Roman"/>
        </w:rPr>
      </w:pPr>
    </w:p>
    <w:p w:rsidR="006923FA" w:rsidRPr="006923FA" w:rsidRDefault="006923FA" w:rsidP="006923FA">
      <w:pPr>
        <w:spacing w:after="0" w:line="276" w:lineRule="auto"/>
        <w:rPr>
          <w:rFonts w:ascii="Times New Roman" w:hAnsi="Times New Roman" w:cs="Times New Roman"/>
        </w:rPr>
      </w:pPr>
      <w:r w:rsidRPr="006923FA">
        <w:rPr>
          <w:rFonts w:ascii="Times New Roman" w:hAnsi="Times New Roman" w:cs="Times New Roman"/>
        </w:rPr>
        <w:t>This case is about who can legally obtain guns. It challenges the 1968 federal prohibition on licensed gun dealers selling handguns or handgun ammo to adults between the ages of 18 and 20. People in that age range can buy long guns, such as rifles or shotguns, and they can legally possess handguns. But they are barred from purchasing any of these items from licensed dealers, restricting their ability to obtain what they are permitted to own.</w:t>
      </w:r>
    </w:p>
    <w:p w:rsidR="006923FA" w:rsidRPr="006923FA" w:rsidRDefault="006923FA" w:rsidP="006923FA">
      <w:pPr>
        <w:spacing w:after="0" w:line="276" w:lineRule="auto"/>
        <w:rPr>
          <w:rFonts w:ascii="Times New Roman" w:hAnsi="Times New Roman" w:cs="Times New Roman"/>
        </w:rPr>
      </w:pPr>
    </w:p>
    <w:p w:rsidR="006923FA" w:rsidRPr="006923FA" w:rsidRDefault="006923FA" w:rsidP="006923FA">
      <w:pPr>
        <w:spacing w:after="0" w:line="276" w:lineRule="auto"/>
        <w:rPr>
          <w:rFonts w:ascii="Times New Roman" w:hAnsi="Times New Roman" w:cs="Times New Roman"/>
        </w:rPr>
      </w:pPr>
      <w:r w:rsidRPr="006923FA">
        <w:rPr>
          <w:rFonts w:ascii="Times New Roman" w:hAnsi="Times New Roman" w:cs="Times New Roman"/>
        </w:rPr>
        <w:t>The case has dragged on since 2011, necessitating the addition of a new plaintiff (since the original pair of complainants have reached age 21). Two lower courts considering the case decided that 18- to 20-year-olds have no rights under the Second Amendment, never mind Heller.</w:t>
      </w:r>
    </w:p>
    <w:p w:rsidR="006923FA" w:rsidRPr="006923FA" w:rsidRDefault="006923FA" w:rsidP="006923FA">
      <w:pPr>
        <w:spacing w:after="0" w:line="276" w:lineRule="auto"/>
        <w:rPr>
          <w:rFonts w:ascii="Times New Roman" w:hAnsi="Times New Roman" w:cs="Times New Roman"/>
        </w:rPr>
      </w:pPr>
    </w:p>
    <w:p w:rsidR="006923FA" w:rsidRPr="006923FA" w:rsidRDefault="006923FA" w:rsidP="006923FA">
      <w:pPr>
        <w:spacing w:after="0" w:line="276" w:lineRule="auto"/>
        <w:rPr>
          <w:rFonts w:ascii="Times New Roman" w:hAnsi="Times New Roman" w:cs="Times New Roman"/>
        </w:rPr>
      </w:pPr>
      <w:r w:rsidRPr="006923FA">
        <w:rPr>
          <w:rFonts w:ascii="Times New Roman" w:hAnsi="Times New Roman" w:cs="Times New Roman"/>
        </w:rPr>
        <w:t>The petition for certiorari requests the Supreme Court to decide "whether a nationwide, class-based, categorical ban on meaningful access to the quintessential means to exercise the right to keep and bear arms for self-defense can be reconciled with the Second Amendment." That question has potential relevance beyond the age cohort at issue: There are legal limits imposed on the gun rights of convicted felons and those adjudicated mentally ill, for example.</w:t>
      </w:r>
    </w:p>
    <w:p w:rsidR="006923FA" w:rsidRPr="006923FA" w:rsidRDefault="006923FA" w:rsidP="006923FA">
      <w:pPr>
        <w:spacing w:after="0" w:line="276" w:lineRule="auto"/>
        <w:rPr>
          <w:rFonts w:ascii="Times New Roman" w:hAnsi="Times New Roman" w:cs="Times New Roman"/>
        </w:rPr>
      </w:pPr>
    </w:p>
    <w:p w:rsidR="006923FA" w:rsidRPr="006923FA" w:rsidRDefault="006923FA" w:rsidP="006923FA">
      <w:pPr>
        <w:spacing w:after="0" w:line="276" w:lineRule="auto"/>
        <w:rPr>
          <w:rFonts w:ascii="Times New Roman" w:hAnsi="Times New Roman" w:cs="Times New Roman"/>
        </w:rPr>
      </w:pPr>
      <w:r w:rsidRPr="006923FA">
        <w:rPr>
          <w:rFonts w:ascii="Times New Roman" w:hAnsi="Times New Roman" w:cs="Times New Roman"/>
        </w:rPr>
        <w:t xml:space="preserve">The lower courts' opinions in NRA v. BATFE show they are not taking the Second Amendment very seriously. The U.S. District Court for the Northern District of Texas, which initially granted the government's request to dismiss the case in September 2011, thought that since "Congress identified a legitimate state interest-public safety-and passed legislation that is rationally related to addressing that issue," neither the Second Amendment nor equal protection of the law mattered. The court's reasoning went like this: Congress did it, they thought they had their </w:t>
      </w:r>
      <w:proofErr w:type="gramStart"/>
      <w:r w:rsidRPr="006923FA">
        <w:rPr>
          <w:rFonts w:ascii="Times New Roman" w:hAnsi="Times New Roman" w:cs="Times New Roman"/>
        </w:rPr>
        <w:t>reasons, that</w:t>
      </w:r>
      <w:proofErr w:type="gramEnd"/>
      <w:r w:rsidRPr="006923FA">
        <w:rPr>
          <w:rFonts w:ascii="Times New Roman" w:hAnsi="Times New Roman" w:cs="Times New Roman"/>
        </w:rPr>
        <w:t xml:space="preserve"> settles it.</w:t>
      </w:r>
    </w:p>
    <w:p w:rsidR="006923FA" w:rsidRPr="006923FA" w:rsidRDefault="006923FA" w:rsidP="006923FA">
      <w:pPr>
        <w:spacing w:after="0" w:line="276" w:lineRule="auto"/>
        <w:rPr>
          <w:rFonts w:ascii="Times New Roman" w:hAnsi="Times New Roman" w:cs="Times New Roman"/>
        </w:rPr>
      </w:pPr>
    </w:p>
    <w:p w:rsidR="006923FA" w:rsidRPr="006923FA" w:rsidRDefault="006923FA" w:rsidP="006923FA">
      <w:pPr>
        <w:spacing w:after="0" w:line="276" w:lineRule="auto"/>
        <w:rPr>
          <w:rFonts w:ascii="Times New Roman" w:hAnsi="Times New Roman" w:cs="Times New Roman"/>
        </w:rPr>
      </w:pPr>
      <w:r w:rsidRPr="006923FA">
        <w:rPr>
          <w:rFonts w:ascii="Times New Roman" w:hAnsi="Times New Roman" w:cs="Times New Roman"/>
        </w:rPr>
        <w:t>A panel of the Fifth Circuit Court of Appeals then decided that the Second Amendment didn't really have bearing on this case. Why? Certain types of people had been barred from gun ownership even back in the Founding era. Additionally, in the 19th and 20th centuries various laws prevented minors from owning weapons when the age of majority was still 21. (In the Founding era, though, 18- to 20-year-olds were part of the armed militia.)</w:t>
      </w:r>
    </w:p>
    <w:p w:rsidR="006923FA" w:rsidRPr="006923FA" w:rsidRDefault="006923FA" w:rsidP="006923FA">
      <w:pPr>
        <w:spacing w:after="0" w:line="276" w:lineRule="auto"/>
        <w:rPr>
          <w:rFonts w:ascii="Times New Roman" w:hAnsi="Times New Roman" w:cs="Times New Roman"/>
        </w:rPr>
      </w:pPr>
    </w:p>
    <w:p w:rsidR="006923FA" w:rsidRPr="006923FA" w:rsidRDefault="006923FA" w:rsidP="006923FA">
      <w:pPr>
        <w:spacing w:after="0" w:line="276" w:lineRule="auto"/>
        <w:rPr>
          <w:rFonts w:ascii="Times New Roman" w:hAnsi="Times New Roman" w:cs="Times New Roman"/>
        </w:rPr>
      </w:pPr>
      <w:r w:rsidRPr="006923FA">
        <w:rPr>
          <w:rFonts w:ascii="Times New Roman" w:hAnsi="Times New Roman" w:cs="Times New Roman"/>
        </w:rPr>
        <w:t>The Fifth Circuit also seemed to invent a new comparative responsibility doctrine for applying full constitutional rights. The Second Amendment, the judges found, only "protects 'law-abiding, responsible' Citizens." And "Congress found that persons under 21 tend to be relatively irresponsible."</w:t>
      </w:r>
    </w:p>
    <w:p w:rsidR="006923FA" w:rsidRPr="006923FA" w:rsidRDefault="006923FA" w:rsidP="006923FA">
      <w:pPr>
        <w:spacing w:after="0" w:line="276" w:lineRule="auto"/>
        <w:rPr>
          <w:rFonts w:ascii="Times New Roman" w:hAnsi="Times New Roman" w:cs="Times New Roman"/>
        </w:rPr>
      </w:pPr>
    </w:p>
    <w:p w:rsidR="006923FA" w:rsidRPr="006923FA" w:rsidRDefault="006923FA" w:rsidP="006923FA">
      <w:pPr>
        <w:spacing w:after="0" w:line="276" w:lineRule="auto"/>
        <w:rPr>
          <w:rFonts w:ascii="Times New Roman" w:hAnsi="Times New Roman" w:cs="Times New Roman"/>
        </w:rPr>
      </w:pPr>
      <w:r w:rsidRPr="006923FA">
        <w:rPr>
          <w:rFonts w:ascii="Times New Roman" w:hAnsi="Times New Roman" w:cs="Times New Roman"/>
        </w:rPr>
        <w:t xml:space="preserve">In a failed attempt to get the Fifth Circuit to rehear the case </w:t>
      </w:r>
      <w:proofErr w:type="spellStart"/>
      <w:r w:rsidRPr="006923FA">
        <w:rPr>
          <w:rFonts w:ascii="Times New Roman" w:hAnsi="Times New Roman" w:cs="Times New Roman"/>
        </w:rPr>
        <w:t>en</w:t>
      </w:r>
      <w:proofErr w:type="spellEnd"/>
      <w:r w:rsidRPr="006923FA">
        <w:rPr>
          <w:rFonts w:ascii="Times New Roman" w:hAnsi="Times New Roman" w:cs="Times New Roman"/>
        </w:rPr>
        <w:t xml:space="preserve"> banc, a dissent from Judge Edith Jones in the 8-7 vote wondered when else courts would ever decide that a constitutional right did not apply to "a law-abiding adult class of citizens," mocking the decision's extremely weak version of "intermediate scrutiny," its basis for determining whether the government's restriction furthers an important state interest in a directly relevant way.</w:t>
      </w:r>
    </w:p>
    <w:p w:rsidR="006923FA" w:rsidRPr="006923FA" w:rsidRDefault="006923FA" w:rsidP="006923FA">
      <w:pPr>
        <w:spacing w:after="0" w:line="276" w:lineRule="auto"/>
        <w:rPr>
          <w:rFonts w:ascii="Times New Roman" w:hAnsi="Times New Roman" w:cs="Times New Roman"/>
        </w:rPr>
      </w:pPr>
    </w:p>
    <w:p w:rsidR="006923FA" w:rsidRPr="006923FA" w:rsidRDefault="006923FA" w:rsidP="006923FA">
      <w:pPr>
        <w:spacing w:after="0" w:line="276" w:lineRule="auto"/>
        <w:rPr>
          <w:rFonts w:ascii="Times New Roman" w:hAnsi="Times New Roman" w:cs="Times New Roman"/>
        </w:rPr>
      </w:pPr>
      <w:r w:rsidRPr="006923FA">
        <w:rPr>
          <w:rFonts w:ascii="Times New Roman" w:hAnsi="Times New Roman" w:cs="Times New Roman"/>
        </w:rPr>
        <w:t xml:space="preserve">The Supreme Court has not defined what level of judicial scrutiny should apply to Second Amendment cases. It has rejected as a guideline mere "interest balancing," in which a court decides whether the benefits of a given restriction outweigh its costs to the citizen. Same with a "rational basis review," in </w:t>
      </w:r>
      <w:r w:rsidRPr="006923FA">
        <w:rPr>
          <w:rFonts w:ascii="Times New Roman" w:hAnsi="Times New Roman" w:cs="Times New Roman"/>
        </w:rPr>
        <w:lastRenderedPageBreak/>
        <w:t>which the government merely has to prove that the rights-restriction is rationally related to furthering some state goal.</w:t>
      </w:r>
    </w:p>
    <w:p w:rsidR="006923FA" w:rsidRPr="006923FA" w:rsidRDefault="006923FA" w:rsidP="006923FA">
      <w:pPr>
        <w:spacing w:after="0" w:line="276" w:lineRule="auto"/>
        <w:rPr>
          <w:rFonts w:ascii="Times New Roman" w:hAnsi="Times New Roman" w:cs="Times New Roman"/>
        </w:rPr>
      </w:pPr>
    </w:p>
    <w:p w:rsidR="004C1D32" w:rsidRPr="006923FA" w:rsidRDefault="006923FA" w:rsidP="006923FA">
      <w:pPr>
        <w:spacing w:after="0" w:line="276" w:lineRule="auto"/>
        <w:rPr>
          <w:rFonts w:ascii="Times New Roman" w:hAnsi="Times New Roman" w:cs="Times New Roman"/>
        </w:rPr>
      </w:pPr>
      <w:r w:rsidRPr="006923FA">
        <w:rPr>
          <w:rFonts w:ascii="Times New Roman" w:hAnsi="Times New Roman" w:cs="Times New Roman"/>
        </w:rPr>
        <w:t xml:space="preserve">Lower court application of "intermediate scrutiny" to Second Amendment cases has curtailed the expansion of gun rights in many post-Heller cases. Alan </w:t>
      </w:r>
      <w:proofErr w:type="spellStart"/>
      <w:r w:rsidRPr="006923FA">
        <w:rPr>
          <w:rFonts w:ascii="Times New Roman" w:hAnsi="Times New Roman" w:cs="Times New Roman"/>
        </w:rPr>
        <w:t>Gura</w:t>
      </w:r>
      <w:proofErr w:type="spellEnd"/>
      <w:r w:rsidRPr="006923FA">
        <w:rPr>
          <w:rFonts w:ascii="Times New Roman" w:hAnsi="Times New Roman" w:cs="Times New Roman"/>
        </w:rPr>
        <w:t xml:space="preserve">, the lawyer who won both Heller and McDonald before the Supreme Court, says that the doctrine here "is not the intermediate scrutiny that's usually applied in constitutional cases, such as gender-based discrimination under the Equal Protection Clause." Under real intermediate scrutiny, </w:t>
      </w:r>
      <w:proofErr w:type="spellStart"/>
      <w:r w:rsidRPr="006923FA">
        <w:rPr>
          <w:rFonts w:ascii="Times New Roman" w:hAnsi="Times New Roman" w:cs="Times New Roman"/>
        </w:rPr>
        <w:t>Gura</w:t>
      </w:r>
      <w:proofErr w:type="spellEnd"/>
      <w:r w:rsidRPr="006923FA">
        <w:rPr>
          <w:rFonts w:ascii="Times New Roman" w:hAnsi="Times New Roman" w:cs="Times New Roman"/>
        </w:rPr>
        <w:t xml:space="preserve"> contends, "post-hoc rationalizations are insufficient, and the government bears the burden of showing a substantial fit between an important interest and the regulation at issue." Yet under Second Amendment intermediate scrutiny as applied by lower courts, "the legislative excuses or police declarations are given presumptive weight, and the burden is laid upon the challengers. Sometimes the government is required to come back with more evidence, but this appears to largely be a pro forma step. Most (but not all) laws survive this analysis."</w:t>
      </w:r>
    </w:p>
    <w:p w:rsidR="004C1D32" w:rsidRDefault="004C1D32" w:rsidP="006056B7">
      <w:pPr>
        <w:spacing w:after="0"/>
        <w:rPr>
          <w:rFonts w:ascii="Times New Roman" w:hAnsi="Times New Roman" w:cs="Times New Roman"/>
        </w:rPr>
      </w:pPr>
    </w:p>
    <w:p w:rsidR="004C1D32" w:rsidRPr="006056B7" w:rsidRDefault="004C1D32" w:rsidP="006056B7">
      <w:pPr>
        <w:spacing w:after="0"/>
        <w:rPr>
          <w:rFonts w:ascii="Times New Roman" w:hAnsi="Times New Roman" w:cs="Times New Roman"/>
        </w:rPr>
      </w:pPr>
      <w:bookmarkStart w:id="11" w:name="_GoBack"/>
      <w:bookmarkEnd w:id="11"/>
    </w:p>
    <w:sectPr w:rsidR="004C1D32" w:rsidRPr="006056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72B5C"/>
    <w:multiLevelType w:val="multilevel"/>
    <w:tmpl w:val="526A0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4C4915"/>
    <w:multiLevelType w:val="multilevel"/>
    <w:tmpl w:val="0352D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724561"/>
    <w:multiLevelType w:val="multilevel"/>
    <w:tmpl w:val="9F840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830E83"/>
    <w:multiLevelType w:val="multilevel"/>
    <w:tmpl w:val="B4CEC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CE3D0A"/>
    <w:multiLevelType w:val="multilevel"/>
    <w:tmpl w:val="F8769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6B7"/>
    <w:rsid w:val="000066A8"/>
    <w:rsid w:val="00015CDE"/>
    <w:rsid w:val="00016DB9"/>
    <w:rsid w:val="00030646"/>
    <w:rsid w:val="000537F6"/>
    <w:rsid w:val="00053F7C"/>
    <w:rsid w:val="000734C4"/>
    <w:rsid w:val="00095E26"/>
    <w:rsid w:val="0011260D"/>
    <w:rsid w:val="00122A5C"/>
    <w:rsid w:val="00141A98"/>
    <w:rsid w:val="001437C8"/>
    <w:rsid w:val="00165715"/>
    <w:rsid w:val="001657AF"/>
    <w:rsid w:val="00173DC6"/>
    <w:rsid w:val="00187973"/>
    <w:rsid w:val="001B24D8"/>
    <w:rsid w:val="001B2DF9"/>
    <w:rsid w:val="001F5B24"/>
    <w:rsid w:val="0022591D"/>
    <w:rsid w:val="002868D7"/>
    <w:rsid w:val="002958E9"/>
    <w:rsid w:val="002C2C4E"/>
    <w:rsid w:val="002C799E"/>
    <w:rsid w:val="002F0F3C"/>
    <w:rsid w:val="0031124D"/>
    <w:rsid w:val="003471B4"/>
    <w:rsid w:val="00367676"/>
    <w:rsid w:val="003939AF"/>
    <w:rsid w:val="003A1B88"/>
    <w:rsid w:val="003A7604"/>
    <w:rsid w:val="003C1D3D"/>
    <w:rsid w:val="003D2CE0"/>
    <w:rsid w:val="003D51C0"/>
    <w:rsid w:val="003D61C5"/>
    <w:rsid w:val="00401362"/>
    <w:rsid w:val="004037E7"/>
    <w:rsid w:val="004146F0"/>
    <w:rsid w:val="004525E6"/>
    <w:rsid w:val="0045606C"/>
    <w:rsid w:val="004627E0"/>
    <w:rsid w:val="004976ED"/>
    <w:rsid w:val="004B52B2"/>
    <w:rsid w:val="004C1D32"/>
    <w:rsid w:val="004D1E29"/>
    <w:rsid w:val="00521E35"/>
    <w:rsid w:val="00572D17"/>
    <w:rsid w:val="005C2BDE"/>
    <w:rsid w:val="005E529E"/>
    <w:rsid w:val="006056B7"/>
    <w:rsid w:val="00626753"/>
    <w:rsid w:val="00667031"/>
    <w:rsid w:val="00667956"/>
    <w:rsid w:val="006923FA"/>
    <w:rsid w:val="006A005F"/>
    <w:rsid w:val="006B6AE4"/>
    <w:rsid w:val="006C225C"/>
    <w:rsid w:val="006C271B"/>
    <w:rsid w:val="006C30A3"/>
    <w:rsid w:val="00706C65"/>
    <w:rsid w:val="00722461"/>
    <w:rsid w:val="00744C4E"/>
    <w:rsid w:val="00763607"/>
    <w:rsid w:val="00793070"/>
    <w:rsid w:val="007A62ED"/>
    <w:rsid w:val="007D5DF4"/>
    <w:rsid w:val="00815331"/>
    <w:rsid w:val="00857C5D"/>
    <w:rsid w:val="008655B9"/>
    <w:rsid w:val="008657D2"/>
    <w:rsid w:val="00866FDE"/>
    <w:rsid w:val="0087744D"/>
    <w:rsid w:val="0089405C"/>
    <w:rsid w:val="00896F24"/>
    <w:rsid w:val="008A06EF"/>
    <w:rsid w:val="008A310F"/>
    <w:rsid w:val="008D09CA"/>
    <w:rsid w:val="0090434C"/>
    <w:rsid w:val="009545F9"/>
    <w:rsid w:val="00974700"/>
    <w:rsid w:val="009765E5"/>
    <w:rsid w:val="00976E17"/>
    <w:rsid w:val="009A5872"/>
    <w:rsid w:val="009A79E6"/>
    <w:rsid w:val="009B18E9"/>
    <w:rsid w:val="009C6E95"/>
    <w:rsid w:val="009C7F46"/>
    <w:rsid w:val="009F372C"/>
    <w:rsid w:val="00A0505B"/>
    <w:rsid w:val="00A26AEF"/>
    <w:rsid w:val="00A30589"/>
    <w:rsid w:val="00A326F3"/>
    <w:rsid w:val="00A64AFA"/>
    <w:rsid w:val="00A73F69"/>
    <w:rsid w:val="00AD59A0"/>
    <w:rsid w:val="00AD71EB"/>
    <w:rsid w:val="00AE3D04"/>
    <w:rsid w:val="00AF285A"/>
    <w:rsid w:val="00B15E46"/>
    <w:rsid w:val="00B20624"/>
    <w:rsid w:val="00B50AE8"/>
    <w:rsid w:val="00B5630B"/>
    <w:rsid w:val="00B81E83"/>
    <w:rsid w:val="00B97F2E"/>
    <w:rsid w:val="00BA19ED"/>
    <w:rsid w:val="00BB516D"/>
    <w:rsid w:val="00BC30B1"/>
    <w:rsid w:val="00BF1002"/>
    <w:rsid w:val="00BF5482"/>
    <w:rsid w:val="00C033E9"/>
    <w:rsid w:val="00C3258F"/>
    <w:rsid w:val="00C54CE2"/>
    <w:rsid w:val="00C71C23"/>
    <w:rsid w:val="00C757F7"/>
    <w:rsid w:val="00CA423A"/>
    <w:rsid w:val="00CB4EE0"/>
    <w:rsid w:val="00CC4FF2"/>
    <w:rsid w:val="00CC7BA5"/>
    <w:rsid w:val="00CF029F"/>
    <w:rsid w:val="00CF11ED"/>
    <w:rsid w:val="00D0039B"/>
    <w:rsid w:val="00D05AD2"/>
    <w:rsid w:val="00D13032"/>
    <w:rsid w:val="00D22679"/>
    <w:rsid w:val="00D97D2F"/>
    <w:rsid w:val="00DA3E6A"/>
    <w:rsid w:val="00DB24A1"/>
    <w:rsid w:val="00E33557"/>
    <w:rsid w:val="00E3798E"/>
    <w:rsid w:val="00E6559E"/>
    <w:rsid w:val="00E912C8"/>
    <w:rsid w:val="00EA01D7"/>
    <w:rsid w:val="00EB546E"/>
    <w:rsid w:val="00EC7073"/>
    <w:rsid w:val="00F11996"/>
    <w:rsid w:val="00F6784B"/>
    <w:rsid w:val="00F91EB4"/>
    <w:rsid w:val="00FC31B5"/>
    <w:rsid w:val="00FF1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B4B785-EEEA-4D59-A49C-DB48EA2D4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A76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A76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A76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60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A760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A760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A76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A7604"/>
  </w:style>
  <w:style w:type="character" w:styleId="Emphasis">
    <w:name w:val="Emphasis"/>
    <w:basedOn w:val="DefaultParagraphFont"/>
    <w:uiPriority w:val="20"/>
    <w:qFormat/>
    <w:rsid w:val="003A7604"/>
    <w:rPr>
      <w:i/>
      <w:iCs/>
    </w:rPr>
  </w:style>
  <w:style w:type="character" w:styleId="Hyperlink">
    <w:name w:val="Hyperlink"/>
    <w:basedOn w:val="DefaultParagraphFont"/>
    <w:uiPriority w:val="99"/>
    <w:semiHidden/>
    <w:unhideWhenUsed/>
    <w:rsid w:val="003A7604"/>
    <w:rPr>
      <w:color w:val="0000FF"/>
      <w:u w:val="single"/>
    </w:rPr>
  </w:style>
  <w:style w:type="character" w:customStyle="1" w:styleId="label">
    <w:name w:val="label"/>
    <w:basedOn w:val="DefaultParagraphFont"/>
    <w:rsid w:val="003A7604"/>
  </w:style>
  <w:style w:type="character" w:customStyle="1" w:styleId="vote">
    <w:name w:val="vote"/>
    <w:basedOn w:val="DefaultParagraphFont"/>
    <w:rsid w:val="003A7604"/>
  </w:style>
  <w:style w:type="character" w:customStyle="1" w:styleId="winner">
    <w:name w:val="winner"/>
    <w:basedOn w:val="DefaultParagraphFont"/>
    <w:rsid w:val="003A7604"/>
  </w:style>
  <w:style w:type="character" w:customStyle="1" w:styleId="author">
    <w:name w:val="author"/>
    <w:basedOn w:val="DefaultParagraphFont"/>
    <w:rsid w:val="003A7604"/>
  </w:style>
  <w:style w:type="character" w:customStyle="1" w:styleId="short">
    <w:name w:val="short"/>
    <w:basedOn w:val="DefaultParagraphFont"/>
    <w:rsid w:val="003A7604"/>
  </w:style>
  <w:style w:type="character" w:customStyle="1" w:styleId="toctoggle">
    <w:name w:val="toctoggle"/>
    <w:basedOn w:val="DefaultParagraphFont"/>
    <w:rsid w:val="00E6559E"/>
  </w:style>
  <w:style w:type="character" w:customStyle="1" w:styleId="tocnumber">
    <w:name w:val="tocnumber"/>
    <w:basedOn w:val="DefaultParagraphFont"/>
    <w:rsid w:val="00E6559E"/>
  </w:style>
  <w:style w:type="character" w:customStyle="1" w:styleId="toctext">
    <w:name w:val="toctext"/>
    <w:basedOn w:val="DefaultParagraphFont"/>
    <w:rsid w:val="00E6559E"/>
  </w:style>
  <w:style w:type="character" w:customStyle="1" w:styleId="mw-headline">
    <w:name w:val="mw-headline"/>
    <w:basedOn w:val="DefaultParagraphFont"/>
    <w:rsid w:val="00E6559E"/>
  </w:style>
  <w:style w:type="character" w:customStyle="1" w:styleId="mw-editsection">
    <w:name w:val="mw-editsection"/>
    <w:basedOn w:val="DefaultParagraphFont"/>
    <w:rsid w:val="00E6559E"/>
  </w:style>
  <w:style w:type="character" w:customStyle="1" w:styleId="mw-editsection-bracket">
    <w:name w:val="mw-editsection-bracket"/>
    <w:basedOn w:val="DefaultParagraphFont"/>
    <w:rsid w:val="00E65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281704">
      <w:bodyDiv w:val="1"/>
      <w:marLeft w:val="0"/>
      <w:marRight w:val="0"/>
      <w:marTop w:val="0"/>
      <w:marBottom w:val="0"/>
      <w:divBdr>
        <w:top w:val="none" w:sz="0" w:space="0" w:color="auto"/>
        <w:left w:val="none" w:sz="0" w:space="0" w:color="auto"/>
        <w:bottom w:val="none" w:sz="0" w:space="0" w:color="auto"/>
        <w:right w:val="none" w:sz="0" w:space="0" w:color="auto"/>
      </w:divBdr>
      <w:divsChild>
        <w:div w:id="692343282">
          <w:marLeft w:val="0"/>
          <w:marRight w:val="0"/>
          <w:marTop w:val="0"/>
          <w:marBottom w:val="0"/>
          <w:divBdr>
            <w:top w:val="none" w:sz="0" w:space="0" w:color="auto"/>
            <w:left w:val="none" w:sz="0" w:space="0" w:color="auto"/>
            <w:bottom w:val="none" w:sz="0" w:space="0" w:color="auto"/>
            <w:right w:val="none" w:sz="0" w:space="0" w:color="auto"/>
          </w:divBdr>
        </w:div>
      </w:divsChild>
    </w:div>
    <w:div w:id="1873835808">
      <w:bodyDiv w:val="1"/>
      <w:marLeft w:val="0"/>
      <w:marRight w:val="0"/>
      <w:marTop w:val="0"/>
      <w:marBottom w:val="0"/>
      <w:divBdr>
        <w:top w:val="none" w:sz="0" w:space="0" w:color="auto"/>
        <w:left w:val="none" w:sz="0" w:space="0" w:color="auto"/>
        <w:bottom w:val="none" w:sz="0" w:space="0" w:color="auto"/>
        <w:right w:val="none" w:sz="0" w:space="0" w:color="auto"/>
      </w:divBdr>
    </w:div>
    <w:div w:id="1924877627">
      <w:bodyDiv w:val="1"/>
      <w:marLeft w:val="0"/>
      <w:marRight w:val="0"/>
      <w:marTop w:val="0"/>
      <w:marBottom w:val="0"/>
      <w:divBdr>
        <w:top w:val="none" w:sz="0" w:space="0" w:color="auto"/>
        <w:left w:val="none" w:sz="0" w:space="0" w:color="auto"/>
        <w:bottom w:val="none" w:sz="0" w:space="0" w:color="auto"/>
        <w:right w:val="none" w:sz="0" w:space="0" w:color="auto"/>
      </w:divBdr>
      <w:divsChild>
        <w:div w:id="894203292">
          <w:marLeft w:val="0"/>
          <w:marRight w:val="0"/>
          <w:marTop w:val="0"/>
          <w:marBottom w:val="0"/>
          <w:divBdr>
            <w:top w:val="none" w:sz="0" w:space="0" w:color="auto"/>
            <w:left w:val="none" w:sz="0" w:space="0" w:color="auto"/>
            <w:bottom w:val="none" w:sz="0" w:space="0" w:color="auto"/>
            <w:right w:val="none" w:sz="0" w:space="0" w:color="auto"/>
          </w:divBdr>
        </w:div>
        <w:div w:id="200289372">
          <w:marLeft w:val="0"/>
          <w:marRight w:val="0"/>
          <w:marTop w:val="0"/>
          <w:marBottom w:val="0"/>
          <w:divBdr>
            <w:top w:val="none" w:sz="0" w:space="0" w:color="auto"/>
            <w:left w:val="none" w:sz="0" w:space="0" w:color="auto"/>
            <w:bottom w:val="none" w:sz="0" w:space="0" w:color="auto"/>
            <w:right w:val="none" w:sz="0" w:space="0" w:color="auto"/>
          </w:divBdr>
        </w:div>
        <w:div w:id="1425225361">
          <w:marLeft w:val="0"/>
          <w:marRight w:val="0"/>
          <w:marTop w:val="0"/>
          <w:marBottom w:val="0"/>
          <w:divBdr>
            <w:top w:val="none" w:sz="0" w:space="0" w:color="auto"/>
            <w:left w:val="none" w:sz="0" w:space="0" w:color="auto"/>
            <w:bottom w:val="none" w:sz="0" w:space="0" w:color="auto"/>
            <w:right w:val="none" w:sz="0" w:space="0" w:color="auto"/>
          </w:divBdr>
          <w:divsChild>
            <w:div w:id="1306659899">
              <w:marLeft w:val="0"/>
              <w:marRight w:val="0"/>
              <w:marTop w:val="0"/>
              <w:marBottom w:val="0"/>
              <w:divBdr>
                <w:top w:val="none" w:sz="0" w:space="0" w:color="auto"/>
                <w:left w:val="none" w:sz="0" w:space="0" w:color="auto"/>
                <w:bottom w:val="none" w:sz="0" w:space="0" w:color="auto"/>
                <w:right w:val="none" w:sz="0" w:space="0" w:color="auto"/>
              </w:divBdr>
            </w:div>
            <w:div w:id="1501888801">
              <w:marLeft w:val="0"/>
              <w:marRight w:val="0"/>
              <w:marTop w:val="0"/>
              <w:marBottom w:val="0"/>
              <w:divBdr>
                <w:top w:val="none" w:sz="0" w:space="0" w:color="auto"/>
                <w:left w:val="none" w:sz="0" w:space="0" w:color="auto"/>
                <w:bottom w:val="none" w:sz="0" w:space="0" w:color="auto"/>
                <w:right w:val="none" w:sz="0" w:space="0" w:color="auto"/>
              </w:divBdr>
              <w:divsChild>
                <w:div w:id="970866071">
                  <w:marLeft w:val="0"/>
                  <w:marRight w:val="0"/>
                  <w:marTop w:val="0"/>
                  <w:marBottom w:val="0"/>
                  <w:divBdr>
                    <w:top w:val="none" w:sz="0" w:space="0" w:color="auto"/>
                    <w:left w:val="none" w:sz="0" w:space="0" w:color="auto"/>
                    <w:bottom w:val="none" w:sz="0" w:space="0" w:color="auto"/>
                    <w:right w:val="none" w:sz="0" w:space="0" w:color="auto"/>
                  </w:divBdr>
                  <w:divsChild>
                    <w:div w:id="1667318059">
                      <w:marLeft w:val="-300"/>
                      <w:marRight w:val="0"/>
                      <w:marTop w:val="0"/>
                      <w:marBottom w:val="0"/>
                      <w:divBdr>
                        <w:top w:val="none" w:sz="0" w:space="0" w:color="auto"/>
                        <w:left w:val="none" w:sz="0" w:space="0" w:color="auto"/>
                        <w:bottom w:val="none" w:sz="0" w:space="0" w:color="auto"/>
                        <w:right w:val="none" w:sz="0" w:space="0" w:color="auto"/>
                      </w:divBdr>
                    </w:div>
                    <w:div w:id="616445391">
                      <w:marLeft w:val="-300"/>
                      <w:marRight w:val="0"/>
                      <w:marTop w:val="0"/>
                      <w:marBottom w:val="0"/>
                      <w:divBdr>
                        <w:top w:val="none" w:sz="0" w:space="0" w:color="auto"/>
                        <w:left w:val="none" w:sz="0" w:space="0" w:color="auto"/>
                        <w:bottom w:val="none" w:sz="0" w:space="0" w:color="auto"/>
                        <w:right w:val="none" w:sz="0" w:space="0" w:color="auto"/>
                      </w:divBdr>
                    </w:div>
                    <w:div w:id="1841314571">
                      <w:marLeft w:val="-300"/>
                      <w:marRight w:val="0"/>
                      <w:marTop w:val="0"/>
                      <w:marBottom w:val="0"/>
                      <w:divBdr>
                        <w:top w:val="none" w:sz="0" w:space="0" w:color="auto"/>
                        <w:left w:val="none" w:sz="0" w:space="0" w:color="auto"/>
                        <w:bottom w:val="none" w:sz="0" w:space="0" w:color="auto"/>
                        <w:right w:val="none" w:sz="0" w:space="0" w:color="auto"/>
                      </w:divBdr>
                    </w:div>
                    <w:div w:id="1042562056">
                      <w:marLeft w:val="-300"/>
                      <w:marRight w:val="0"/>
                      <w:marTop w:val="0"/>
                      <w:marBottom w:val="0"/>
                      <w:divBdr>
                        <w:top w:val="none" w:sz="0" w:space="0" w:color="auto"/>
                        <w:left w:val="none" w:sz="0" w:space="0" w:color="auto"/>
                        <w:bottom w:val="none" w:sz="0" w:space="0" w:color="auto"/>
                        <w:right w:val="none" w:sz="0" w:space="0" w:color="auto"/>
                      </w:divBdr>
                    </w:div>
                    <w:div w:id="626358169">
                      <w:marLeft w:val="-300"/>
                      <w:marRight w:val="0"/>
                      <w:marTop w:val="0"/>
                      <w:marBottom w:val="0"/>
                      <w:divBdr>
                        <w:top w:val="none" w:sz="0" w:space="0" w:color="auto"/>
                        <w:left w:val="none" w:sz="0" w:space="0" w:color="auto"/>
                        <w:bottom w:val="none" w:sz="0" w:space="0" w:color="auto"/>
                        <w:right w:val="none" w:sz="0" w:space="0" w:color="auto"/>
                      </w:divBdr>
                    </w:div>
                    <w:div w:id="1562516979">
                      <w:marLeft w:val="-300"/>
                      <w:marRight w:val="0"/>
                      <w:marTop w:val="0"/>
                      <w:marBottom w:val="0"/>
                      <w:divBdr>
                        <w:top w:val="none" w:sz="0" w:space="0" w:color="auto"/>
                        <w:left w:val="none" w:sz="0" w:space="0" w:color="auto"/>
                        <w:bottom w:val="none" w:sz="0" w:space="0" w:color="auto"/>
                        <w:right w:val="none" w:sz="0" w:space="0" w:color="auto"/>
                      </w:divBdr>
                    </w:div>
                    <w:div w:id="115834355">
                      <w:marLeft w:val="-300"/>
                      <w:marRight w:val="0"/>
                      <w:marTop w:val="0"/>
                      <w:marBottom w:val="0"/>
                      <w:divBdr>
                        <w:top w:val="none" w:sz="0" w:space="0" w:color="auto"/>
                        <w:left w:val="none" w:sz="0" w:space="0" w:color="auto"/>
                        <w:bottom w:val="none" w:sz="0" w:space="0" w:color="auto"/>
                        <w:right w:val="none" w:sz="0" w:space="0" w:color="auto"/>
                      </w:divBdr>
                    </w:div>
                    <w:div w:id="231889992">
                      <w:marLeft w:val="-300"/>
                      <w:marRight w:val="0"/>
                      <w:marTop w:val="0"/>
                      <w:marBottom w:val="0"/>
                      <w:divBdr>
                        <w:top w:val="none" w:sz="0" w:space="0" w:color="auto"/>
                        <w:left w:val="none" w:sz="0" w:space="0" w:color="auto"/>
                        <w:bottom w:val="none" w:sz="0" w:space="0" w:color="auto"/>
                        <w:right w:val="none" w:sz="0" w:space="0" w:color="auto"/>
                      </w:divBdr>
                    </w:div>
                    <w:div w:id="123138455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667973">
          <w:marLeft w:val="0"/>
          <w:marRight w:val="0"/>
          <w:marTop w:val="0"/>
          <w:marBottom w:val="0"/>
          <w:divBdr>
            <w:top w:val="none" w:sz="0" w:space="0" w:color="auto"/>
            <w:left w:val="none" w:sz="0" w:space="0" w:color="auto"/>
            <w:bottom w:val="none" w:sz="0" w:space="0" w:color="auto"/>
            <w:right w:val="none" w:sz="0" w:space="0" w:color="auto"/>
          </w:divBdr>
        </w:div>
      </w:divsChild>
    </w:div>
    <w:div w:id="2069372693">
      <w:bodyDiv w:val="1"/>
      <w:marLeft w:val="0"/>
      <w:marRight w:val="0"/>
      <w:marTop w:val="0"/>
      <w:marBottom w:val="0"/>
      <w:divBdr>
        <w:top w:val="none" w:sz="0" w:space="0" w:color="auto"/>
        <w:left w:val="none" w:sz="0" w:space="0" w:color="auto"/>
        <w:bottom w:val="none" w:sz="0" w:space="0" w:color="auto"/>
        <w:right w:val="none" w:sz="0" w:space="0" w:color="auto"/>
      </w:divBdr>
      <w:divsChild>
        <w:div w:id="491723020">
          <w:marLeft w:val="0"/>
          <w:marRight w:val="0"/>
          <w:marTop w:val="0"/>
          <w:marBottom w:val="0"/>
          <w:divBdr>
            <w:top w:val="none" w:sz="0" w:space="0" w:color="auto"/>
            <w:left w:val="none" w:sz="0" w:space="0" w:color="auto"/>
            <w:bottom w:val="none" w:sz="0" w:space="0" w:color="auto"/>
            <w:right w:val="none" w:sz="0" w:space="0" w:color="auto"/>
          </w:divBdr>
          <w:divsChild>
            <w:div w:id="1275408386">
              <w:marLeft w:val="0"/>
              <w:marRight w:val="0"/>
              <w:marTop w:val="0"/>
              <w:marBottom w:val="0"/>
              <w:divBdr>
                <w:top w:val="none" w:sz="0" w:space="0" w:color="auto"/>
                <w:left w:val="none" w:sz="0" w:space="0" w:color="auto"/>
                <w:bottom w:val="none" w:sz="0" w:space="0" w:color="auto"/>
                <w:right w:val="none" w:sz="0" w:space="0" w:color="auto"/>
              </w:divBdr>
            </w:div>
            <w:div w:id="540947507">
              <w:marLeft w:val="0"/>
              <w:marRight w:val="0"/>
              <w:marTop w:val="0"/>
              <w:marBottom w:val="0"/>
              <w:divBdr>
                <w:top w:val="none" w:sz="0" w:space="0" w:color="auto"/>
                <w:left w:val="none" w:sz="0" w:space="0" w:color="auto"/>
                <w:bottom w:val="none" w:sz="0" w:space="0" w:color="auto"/>
                <w:right w:val="none" w:sz="0" w:space="0" w:color="auto"/>
              </w:divBdr>
              <w:divsChild>
                <w:div w:id="519508280">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Firearm" TargetMode="External"/><Relationship Id="rId18" Type="http://schemas.openxmlformats.org/officeDocument/2006/relationships/hyperlink" Target="https://en.wikipedia.org/wiki/District_of_Columbia_v._Heller" TargetMode="External"/><Relationship Id="rId26" Type="http://schemas.openxmlformats.org/officeDocument/2006/relationships/hyperlink" Target="https://en.wikipedia.org/wiki/Firearms_Control_Regulations_Act_of_1975" TargetMode="External"/><Relationship Id="rId39" Type="http://schemas.openxmlformats.org/officeDocument/2006/relationships/theme" Target="theme/theme1.xml"/><Relationship Id="rId21" Type="http://schemas.openxmlformats.org/officeDocument/2006/relationships/hyperlink" Target="https://en.wikipedia.org/wiki/Washington,_D.C." TargetMode="External"/><Relationship Id="rId34" Type="http://schemas.openxmlformats.org/officeDocument/2006/relationships/hyperlink" Target="https://en.wikipedia.org/wiki/Firearms_Control_Regulations_Act_of_1975" TargetMode="External"/><Relationship Id="rId7" Type="http://schemas.openxmlformats.org/officeDocument/2006/relationships/hyperlink" Target="https://en.wikipedia.org/wiki/District_of_Columbia" TargetMode="External"/><Relationship Id="rId12" Type="http://schemas.openxmlformats.org/officeDocument/2006/relationships/hyperlink" Target="https://en.wikipedia.org/wiki/Semi-automatic_firearm" TargetMode="External"/><Relationship Id="rId17" Type="http://schemas.openxmlformats.org/officeDocument/2006/relationships/hyperlink" Target="https://en.wikipedia.org/wiki/Firearms_Control_Regulations_Act_of_1975" TargetMode="External"/><Relationship Id="rId25" Type="http://schemas.openxmlformats.org/officeDocument/2006/relationships/hyperlink" Target="https://en.wikipedia.org/wiki/Second_Amendment_to_the_United_States_Constitution" TargetMode="External"/><Relationship Id="rId33" Type="http://schemas.openxmlformats.org/officeDocument/2006/relationships/hyperlink" Target="https://en.wikipedia.org/wiki/Supreme_Court_of_the_United_States"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Firearms_Control_Regulations_Act_of_1975" TargetMode="External"/><Relationship Id="rId20" Type="http://schemas.openxmlformats.org/officeDocument/2006/relationships/hyperlink" Target="https://en.wikipedia.org/wiki/Second_Amendment_to_the_United_States_Constitution" TargetMode="External"/><Relationship Id="rId29" Type="http://schemas.openxmlformats.org/officeDocument/2006/relationships/hyperlink" Target="https://en.wikipedia.org/wiki/Firearms_Control_Regulations_Act_of_1975" TargetMode="External"/><Relationship Id="rId1" Type="http://schemas.openxmlformats.org/officeDocument/2006/relationships/numbering" Target="numbering.xml"/><Relationship Id="rId6" Type="http://schemas.openxmlformats.org/officeDocument/2006/relationships/hyperlink" Target="http://www.lawnix.com/cases/commerce-clause.html" TargetMode="External"/><Relationship Id="rId11" Type="http://schemas.openxmlformats.org/officeDocument/2006/relationships/hyperlink" Target="https://en.wikipedia.org/wiki/Automatic_firearm" TargetMode="External"/><Relationship Id="rId24" Type="http://schemas.openxmlformats.org/officeDocument/2006/relationships/hyperlink" Target="https://en.wikipedia.org/wiki/United_States_Constitution" TargetMode="External"/><Relationship Id="rId32" Type="http://schemas.openxmlformats.org/officeDocument/2006/relationships/hyperlink" Target="https://en.wikipedia.org/wiki/Firearms_Control_Regulations_Act_of_1975" TargetMode="External"/><Relationship Id="rId37" Type="http://schemas.openxmlformats.org/officeDocument/2006/relationships/hyperlink" Target="https://en.wikipedia.org/wiki/Firearms_Control_Regulations_Act_of_1975" TargetMode="External"/><Relationship Id="rId5" Type="http://schemas.openxmlformats.org/officeDocument/2006/relationships/hyperlink" Target="http://www.lawnix.com/cases/united-states-lopez.html" TargetMode="External"/><Relationship Id="rId15" Type="http://schemas.openxmlformats.org/officeDocument/2006/relationships/hyperlink" Target="https://en.wikipedia.org/wiki/Trigger_lock" TargetMode="External"/><Relationship Id="rId23" Type="http://schemas.openxmlformats.org/officeDocument/2006/relationships/hyperlink" Target="https://en.wikipedia.org/wiki/Constitutionality" TargetMode="External"/><Relationship Id="rId28" Type="http://schemas.openxmlformats.org/officeDocument/2006/relationships/hyperlink" Target="https://en.wikipedia.org/wiki/Firearms_Control_Regulations_Act_of_1975" TargetMode="External"/><Relationship Id="rId36" Type="http://schemas.openxmlformats.org/officeDocument/2006/relationships/hyperlink" Target="https://en.wikipedia.org/wiki/Assault_weapon" TargetMode="External"/><Relationship Id="rId10" Type="http://schemas.openxmlformats.org/officeDocument/2006/relationships/hyperlink" Target="https://en.wikipedia.org/wiki/Handgun" TargetMode="External"/><Relationship Id="rId19" Type="http://schemas.openxmlformats.org/officeDocument/2006/relationships/hyperlink" Target="https://en.wikipedia.org/wiki/Supreme_Court_of_the_United_States" TargetMode="External"/><Relationship Id="rId31" Type="http://schemas.openxmlformats.org/officeDocument/2006/relationships/hyperlink" Target="https://en.wikipedia.org/wiki/District_of_Columbia_v._Heller" TargetMode="External"/><Relationship Id="rId4" Type="http://schemas.openxmlformats.org/officeDocument/2006/relationships/webSettings" Target="webSettings.xml"/><Relationship Id="rId9" Type="http://schemas.openxmlformats.org/officeDocument/2006/relationships/hyperlink" Target="https://en.wikipedia.org/wiki/Firearms_Control_Regulations_Act_of_1975" TargetMode="External"/><Relationship Id="rId14" Type="http://schemas.openxmlformats.org/officeDocument/2006/relationships/hyperlink" Target="https://en.wikipedia.org/wiki/Police_officer" TargetMode="External"/><Relationship Id="rId22" Type="http://schemas.openxmlformats.org/officeDocument/2006/relationships/hyperlink" Target="https://en.wikipedia.org/wiki/United_States" TargetMode="External"/><Relationship Id="rId27" Type="http://schemas.openxmlformats.org/officeDocument/2006/relationships/hyperlink" Target="https://en.wikipedia.org/wiki/Firearms_Control_Regulations_Act_of_1975" TargetMode="External"/><Relationship Id="rId30" Type="http://schemas.openxmlformats.org/officeDocument/2006/relationships/hyperlink" Target="https://en.wikipedia.org/wiki/United_States_Court_of_Appeals" TargetMode="External"/><Relationship Id="rId35" Type="http://schemas.openxmlformats.org/officeDocument/2006/relationships/hyperlink" Target="https://en.wikipedia.org/wiki/Gun_politics" TargetMode="External"/><Relationship Id="rId8" Type="http://schemas.openxmlformats.org/officeDocument/2006/relationships/hyperlink" Target="https://en.wikipedia.org/wiki/Council_of_the_District_of_Columbia"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13</Pages>
  <Words>4921</Words>
  <Characters>28051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J. Dexter</dc:creator>
  <cp:keywords/>
  <dc:description/>
  <cp:lastModifiedBy>Travis J. Dexter</cp:lastModifiedBy>
  <cp:revision>8</cp:revision>
  <dcterms:created xsi:type="dcterms:W3CDTF">2016-01-07T17:56:00Z</dcterms:created>
  <dcterms:modified xsi:type="dcterms:W3CDTF">2016-01-07T19:11:00Z</dcterms:modified>
</cp:coreProperties>
</file>